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00" w:rsidRDefault="00F76D29" w:rsidP="00856D5C">
      <w:pPr>
        <w:spacing w:beforeLines="50" w:before="156" w:afterLines="50" w:after="156" w:line="560" w:lineRule="exact"/>
        <w:ind w:firstLineChars="100" w:firstLine="522"/>
        <w:rPr>
          <w:rFonts w:ascii="方正粗黑宋简体" w:eastAsia="方正粗黑宋简体" w:hAnsi="方正粗黑宋简体" w:cs="方正粗黑宋简体"/>
          <w:b/>
          <w:color w:val="C00000"/>
          <w:sz w:val="52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  <w:shd w:val="clear" w:color="auto" w:fill="FFFFFF"/>
        </w:rPr>
        <w:t>北京</w:t>
      </w:r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  <w:shd w:val="clear" w:color="auto" w:fill="FFFFFF"/>
        </w:rPr>
        <w:t>大学</w:t>
      </w:r>
      <w:proofErr w:type="gramStart"/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  <w:shd w:val="clear" w:color="auto" w:fill="FFFFFF"/>
        </w:rPr>
        <w:t>康养</w:t>
      </w:r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</w:rPr>
        <w:t>产业暨特色</w:t>
      </w:r>
      <w:proofErr w:type="gramEnd"/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</w:rPr>
        <w:t>产业</w:t>
      </w:r>
    </w:p>
    <w:p w:rsidR="00245E00" w:rsidRDefault="00F76D29" w:rsidP="00856D5C">
      <w:pPr>
        <w:spacing w:beforeLines="50" w:before="156" w:afterLines="50" w:after="156" w:line="560" w:lineRule="exact"/>
        <w:ind w:firstLineChars="400" w:firstLine="2088"/>
        <w:rPr>
          <w:rFonts w:ascii="方正粗黑宋简体" w:eastAsia="方正粗黑宋简体" w:hAnsi="方正粗黑宋简体" w:cs="方正粗黑宋简体"/>
          <w:b/>
          <w:color w:val="C00000"/>
          <w:sz w:val="52"/>
          <w:szCs w:val="52"/>
          <w:shd w:val="clear" w:color="auto" w:fill="FFFFFF"/>
        </w:rPr>
      </w:pPr>
      <w:r>
        <w:rPr>
          <w:rFonts w:ascii="方正粗黑宋简体" w:eastAsia="方正粗黑宋简体" w:hAnsi="方正粗黑宋简体" w:cs="方正粗黑宋简体" w:hint="eastAsia"/>
          <w:b/>
          <w:color w:val="C00000"/>
          <w:sz w:val="52"/>
          <w:szCs w:val="52"/>
        </w:rPr>
        <w:t>运营高级研修班</w:t>
      </w:r>
    </w:p>
    <w:p w:rsidR="00245E00" w:rsidRDefault="00F76D29">
      <w:pPr>
        <w:pStyle w:val="1"/>
        <w:widowControl/>
        <w:spacing w:beforeAutospacing="0" w:afterAutospacing="0" w:line="360" w:lineRule="auto"/>
        <w:jc w:val="center"/>
        <w:rPr>
          <w:rFonts w:ascii="微软雅黑" w:eastAsia="微软雅黑" w:hAnsi="微软雅黑" w:cs="微软雅黑" w:hint="default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/>
          <w:sz w:val="32"/>
          <w:szCs w:val="32"/>
          <w:shd w:val="clear" w:color="auto" w:fill="FFFFFF"/>
        </w:rPr>
        <w:t>康养文旅</w:t>
      </w:r>
      <w:r>
        <w:rPr>
          <w:rFonts w:ascii="微软雅黑" w:eastAsia="微软雅黑" w:hAnsi="微软雅黑" w:cs="微软雅黑"/>
          <w:sz w:val="32"/>
          <w:szCs w:val="32"/>
          <w:shd w:val="clear" w:color="auto" w:fill="FFFFFF"/>
        </w:rPr>
        <w:t>+</w:t>
      </w:r>
      <w:r>
        <w:rPr>
          <w:rFonts w:ascii="微软雅黑" w:eastAsia="微软雅黑" w:hAnsi="微软雅黑" w:cs="微软雅黑"/>
          <w:sz w:val="32"/>
          <w:szCs w:val="32"/>
          <w:shd w:val="clear" w:color="auto" w:fill="FFFFFF"/>
        </w:rPr>
        <w:t>乡村振兴</w:t>
      </w:r>
      <w:r>
        <w:rPr>
          <w:rFonts w:ascii="微软雅黑" w:eastAsia="微软雅黑" w:hAnsi="微软雅黑" w:cs="微软雅黑"/>
          <w:sz w:val="32"/>
          <w:szCs w:val="32"/>
          <w:shd w:val="clear" w:color="auto" w:fill="FFFFFF"/>
        </w:rPr>
        <w:t>+</w:t>
      </w:r>
      <w:r>
        <w:rPr>
          <w:rFonts w:ascii="微软雅黑" w:eastAsia="微软雅黑" w:hAnsi="微软雅黑" w:cs="微软雅黑"/>
          <w:sz w:val="32"/>
          <w:szCs w:val="32"/>
          <w:shd w:val="clear" w:color="auto" w:fill="FFFFFF"/>
        </w:rPr>
        <w:t>产业引领</w:t>
      </w:r>
    </w:p>
    <w:p w:rsidR="00245E00" w:rsidRDefault="00245E00"/>
    <w:p w:rsidR="00245E00" w:rsidRDefault="00F76D29">
      <w:pPr>
        <w:pStyle w:val="a5"/>
        <w:widowControl/>
        <w:spacing w:before="132" w:beforeAutospacing="0" w:after="378" w:afterAutospacing="0" w:line="380" w:lineRule="exact"/>
        <w:jc w:val="both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项目简介</w:t>
      </w:r>
    </w:p>
    <w:p w:rsidR="00245E00" w:rsidRDefault="00F76D29">
      <w:pPr>
        <w:spacing w:line="3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随着经济全球化的快速推进，国家的城镇化建设的稳步发展，在国家乡村振兴战略的背景下，人民生活的美好向往，</w:t>
      </w:r>
      <w:proofErr w:type="gramStart"/>
      <w:r>
        <w:rPr>
          <w:rFonts w:ascii="宋体" w:eastAsia="宋体" w:hAnsi="宋体" w:cs="宋体" w:hint="eastAsia"/>
          <w:sz w:val="24"/>
        </w:rPr>
        <w:t>康养产业</w:t>
      </w:r>
      <w:proofErr w:type="gramEnd"/>
      <w:r>
        <w:rPr>
          <w:rFonts w:ascii="宋体" w:eastAsia="宋体" w:hAnsi="宋体" w:cs="宋体" w:hint="eastAsia"/>
          <w:sz w:val="24"/>
        </w:rPr>
        <w:t>也提升到了国家战略层面，大健康产业正进入井喷元年。</w:t>
      </w:r>
    </w:p>
    <w:p w:rsidR="00245E00" w:rsidRDefault="00F76D29">
      <w:pPr>
        <w:spacing w:line="3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北京大学依托百年学府的人文理想情怀，携百年名校的专业优势和顶尖师资，联手产业精英、行业大</w:t>
      </w:r>
      <w:proofErr w:type="gramStart"/>
      <w:r>
        <w:rPr>
          <w:rFonts w:ascii="宋体" w:eastAsia="宋体" w:hAnsi="宋体" w:cs="宋体" w:hint="eastAsia"/>
          <w:sz w:val="24"/>
        </w:rPr>
        <w:t>咖</w:t>
      </w:r>
      <w:proofErr w:type="gramEnd"/>
      <w:r>
        <w:rPr>
          <w:rFonts w:ascii="宋体" w:eastAsia="宋体" w:hAnsi="宋体" w:cs="宋体" w:hint="eastAsia"/>
          <w:sz w:val="24"/>
        </w:rPr>
        <w:t>，</w:t>
      </w:r>
      <w:proofErr w:type="gramStart"/>
      <w:r>
        <w:rPr>
          <w:rFonts w:ascii="宋体" w:eastAsia="宋体" w:hAnsi="宋体" w:cs="宋体" w:hint="eastAsia"/>
          <w:sz w:val="24"/>
        </w:rPr>
        <w:t>就康养文旅产业</w:t>
      </w:r>
      <w:proofErr w:type="gramEnd"/>
      <w:r>
        <w:rPr>
          <w:rFonts w:ascii="宋体" w:eastAsia="宋体" w:hAnsi="宋体" w:cs="宋体" w:hint="eastAsia"/>
          <w:sz w:val="24"/>
        </w:rPr>
        <w:t>的</w:t>
      </w:r>
      <w:proofErr w:type="gramStart"/>
      <w:r>
        <w:rPr>
          <w:rFonts w:ascii="宋体" w:eastAsia="宋体" w:hAnsi="宋体" w:cs="宋体" w:hint="eastAsia"/>
          <w:sz w:val="24"/>
        </w:rPr>
        <w:t>的</w:t>
      </w:r>
      <w:proofErr w:type="gramEnd"/>
      <w:r>
        <w:rPr>
          <w:rFonts w:ascii="宋体" w:eastAsia="宋体" w:hAnsi="宋体" w:cs="宋体" w:hint="eastAsia"/>
          <w:sz w:val="24"/>
        </w:rPr>
        <w:t>开发，进行理论联系实际的，全产业链的教授和辅导，引领当今产业前沿思想模式。</w:t>
      </w:r>
    </w:p>
    <w:p w:rsidR="00245E00" w:rsidRDefault="00F76D29">
      <w:pPr>
        <w:spacing w:line="3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课程将深度聚焦国家乡村振兴战略和城镇更新，以及大健康战略下的康养文旅产业，从战略规划、顶层设计、落地运营、产业投融资的全生命周期，帮助学员更新理念和知识，提供新思维、新视角、新观点与新模式，达到理论水平与实践能力的全面提升。</w:t>
      </w:r>
    </w:p>
    <w:p w:rsidR="00245E00" w:rsidRDefault="00F76D29">
      <w:pPr>
        <w:spacing w:line="3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仿宋" w:eastAsia="仿宋" w:hAnsi="仿宋" w:cs="仿宋" w:hint="eastAsia"/>
          <w:noProof/>
          <w:sz w:val="24"/>
        </w:rPr>
        <w:drawing>
          <wp:anchor distT="0" distB="0" distL="114935" distR="114935" simplePos="0" relativeHeight="252312576" behindDoc="1" locked="0" layoutInCell="1" allowOverlap="1">
            <wp:simplePos x="0" y="0"/>
            <wp:positionH relativeFrom="column">
              <wp:posOffset>-1160145</wp:posOffset>
            </wp:positionH>
            <wp:positionV relativeFrom="page">
              <wp:posOffset>6389370</wp:posOffset>
            </wp:positionV>
            <wp:extent cx="7592695" cy="4364990"/>
            <wp:effectExtent l="0" t="0" r="8255" b="16510"/>
            <wp:wrapNone/>
            <wp:docPr id="12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</w:rPr>
        <w:t>讲台上，可以亲历在任部委领导的教诲，课堂上，将与行业精英同学互动交流，以及多元化的资源共享和对接，让圈层经济助</w:t>
      </w:r>
      <w:proofErr w:type="gramStart"/>
      <w:r>
        <w:rPr>
          <w:rFonts w:ascii="宋体" w:eastAsia="宋体" w:hAnsi="宋体" w:cs="宋体" w:hint="eastAsia"/>
          <w:sz w:val="24"/>
        </w:rPr>
        <w:t>推企业</w:t>
      </w:r>
      <w:proofErr w:type="gramEnd"/>
      <w:r>
        <w:rPr>
          <w:rFonts w:ascii="宋体" w:eastAsia="宋体" w:hAnsi="宋体" w:cs="宋体" w:hint="eastAsia"/>
          <w:sz w:val="24"/>
        </w:rPr>
        <w:t>转型升级，为企业发展赋能</w:t>
      </w:r>
    </w:p>
    <w:p w:rsidR="00245E00" w:rsidRDefault="00F76D29">
      <w:pPr>
        <w:spacing w:line="3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康养文旅产业，将成为房地产开发的重要突破口，这更考验我们企业卓越领导人的大智慧、大谋略、大格局。面对这样的发展契机，更需要汇聚各方优质资源和前</w:t>
      </w:r>
      <w:r>
        <w:rPr>
          <w:rFonts w:ascii="宋体" w:eastAsia="宋体" w:hAnsi="宋体" w:cs="宋体" w:hint="eastAsia"/>
          <w:sz w:val="24"/>
        </w:rPr>
        <w:t>沿战略思想，借鉴成熟产业和市场经验，</w:t>
      </w:r>
      <w:proofErr w:type="gramStart"/>
      <w:r>
        <w:rPr>
          <w:rFonts w:ascii="宋体" w:eastAsia="宋体" w:hAnsi="宋体" w:cs="宋体" w:hint="eastAsia"/>
          <w:sz w:val="24"/>
        </w:rPr>
        <w:t>驱动康养产业</w:t>
      </w:r>
      <w:proofErr w:type="gramEnd"/>
      <w:r>
        <w:rPr>
          <w:rFonts w:ascii="宋体" w:eastAsia="宋体" w:hAnsi="宋体" w:cs="宋体" w:hint="eastAsia"/>
          <w:sz w:val="24"/>
        </w:rPr>
        <w:t>的全程价值链，在混沌中实现蜕变和华丽转身，为企业管理者提供新思维、新视角、新理念与新模式，引领产业发展新时代。</w:t>
      </w:r>
    </w:p>
    <w:p w:rsidR="00245E00" w:rsidRDefault="00245E00">
      <w:pPr>
        <w:spacing w:line="3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45E00" w:rsidRDefault="00F76D29">
      <w:pPr>
        <w:pStyle w:val="a5"/>
        <w:widowControl/>
        <w:spacing w:before="132" w:beforeAutospacing="0" w:after="200" w:afterAutospacing="0" w:line="400" w:lineRule="exact"/>
        <w:rPr>
          <w:rFonts w:ascii="微软雅黑" w:eastAsia="微软雅黑" w:hAnsi="微软雅黑" w:cs="微软雅黑"/>
          <w:color w:val="C00000"/>
          <w:sz w:val="32"/>
          <w:szCs w:val="32"/>
        </w:rPr>
      </w:pP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【课程亮点】</w:t>
      </w:r>
    </w:p>
    <w:p w:rsidR="00245E00" w:rsidRDefault="00F76D29">
      <w:pPr>
        <w:pStyle w:val="a5"/>
        <w:widowControl/>
        <w:shd w:val="clear" w:color="auto" w:fill="FFFFFF"/>
        <w:spacing w:before="240" w:beforeAutospacing="0" w:after="240" w:afterAutospacing="0" w:line="400" w:lineRule="exact"/>
        <w:ind w:firstLineChars="200" w:firstLine="480"/>
        <w:rPr>
          <w:rFonts w:ascii="宋体" w:eastAsia="宋体" w:hAnsi="宋体" w:cs="宋体"/>
          <w:sz w:val="28"/>
          <w:szCs w:val="28"/>
        </w:rPr>
      </w:pPr>
      <w:r>
        <w:rPr>
          <w:rFonts w:ascii="微软雅黑" w:eastAsia="微软雅黑" w:hAnsi="微软雅黑" w:cstheme="minorEastAsia" w:hint="eastAsia"/>
          <w:kern w:val="2"/>
        </w:rPr>
        <w:t>课程涵盖：洞悉时势、通晓政策、理性思辨、全局统观、资源融合、圈层交流、管理提升、样板</w:t>
      </w:r>
      <w:proofErr w:type="gramStart"/>
      <w:r>
        <w:rPr>
          <w:rFonts w:ascii="微软雅黑" w:eastAsia="微软雅黑" w:hAnsi="微软雅黑" w:cstheme="minorEastAsia" w:hint="eastAsia"/>
          <w:kern w:val="2"/>
        </w:rPr>
        <w:t>研</w:t>
      </w:r>
      <w:proofErr w:type="gramEnd"/>
      <w:r>
        <w:rPr>
          <w:rFonts w:ascii="微软雅黑" w:eastAsia="微软雅黑" w:hAnsi="微软雅黑" w:cstheme="minorEastAsia" w:hint="eastAsia"/>
          <w:kern w:val="2"/>
        </w:rPr>
        <w:t>学、实操落地等亮点。</w:t>
      </w:r>
    </w:p>
    <w:p w:rsidR="00245E00" w:rsidRDefault="00F76D29">
      <w:pPr>
        <w:pStyle w:val="a5"/>
        <w:widowControl/>
        <w:spacing w:before="132" w:beforeAutospacing="0" w:after="200" w:afterAutospacing="0" w:line="380" w:lineRule="exact"/>
        <w:rPr>
          <w:rFonts w:ascii="微软雅黑" w:eastAsia="微软雅黑" w:hAnsi="微软雅黑" w:cs="微软雅黑"/>
          <w:color w:val="C00000"/>
          <w:sz w:val="32"/>
          <w:szCs w:val="32"/>
        </w:rPr>
      </w:pP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核心价值</w:t>
      </w:r>
    </w:p>
    <w:p w:rsidR="00245E00" w:rsidRDefault="00F76D29">
      <w:pPr>
        <w:pStyle w:val="a5"/>
        <w:widowControl/>
        <w:shd w:val="clear" w:color="auto" w:fill="FFFFFF"/>
        <w:spacing w:before="240" w:beforeAutospacing="0" w:after="240" w:afterAutospacing="0" w:line="380" w:lineRule="exact"/>
        <w:rPr>
          <w:rFonts w:ascii="宋体" w:eastAsia="宋体" w:hAnsi="宋体" w:cs="宋体"/>
          <w:color w:val="222222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lastRenderedPageBreak/>
        <w:t>◆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系统课程学习，内容聚焦国家战略和新兴产业发展，包括乡村振兴、特色小镇、田园综合体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、功能农业，特别是康养文旅产业，及相关产业落地运营和项目投融资策略等。</w:t>
      </w:r>
    </w:p>
    <w:p w:rsidR="00245E00" w:rsidRDefault="00F76D29">
      <w:pPr>
        <w:pStyle w:val="a5"/>
        <w:widowControl/>
        <w:shd w:val="clear" w:color="auto" w:fill="FFFFFF"/>
        <w:spacing w:before="240" w:beforeAutospacing="0" w:after="240" w:afterAutospacing="0" w:line="380" w:lineRule="exact"/>
        <w:rPr>
          <w:rFonts w:ascii="宋体" w:eastAsia="宋体" w:hAnsi="宋体" w:cs="宋体"/>
          <w:color w:val="222222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◆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权威师资和实战课程，各部委在职领导及标杆项目操盘手亲身授课，和进行最新的政策解读，</w:t>
      </w:r>
      <w:proofErr w:type="gramStart"/>
      <w:r>
        <w:rPr>
          <w:rFonts w:ascii="宋体" w:eastAsia="宋体" w:hAnsi="宋体" w:cs="宋体" w:hint="eastAsia"/>
          <w:color w:val="222222"/>
          <w:shd w:val="clear" w:color="auto" w:fill="FFFFFF"/>
        </w:rPr>
        <w:t>最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专业的战略规划，最前沿的产业方向，最实用的操作模式，最切合自身发展需求的课程设置。</w:t>
      </w:r>
    </w:p>
    <w:p w:rsidR="00245E00" w:rsidRDefault="00F76D29">
      <w:pPr>
        <w:pStyle w:val="a5"/>
        <w:widowControl/>
        <w:shd w:val="clear" w:color="auto" w:fill="FFFFFF"/>
        <w:spacing w:before="240" w:beforeAutospacing="0" w:after="240" w:afterAutospacing="0" w:line="380" w:lineRule="exact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◆样板项目实地</w:t>
      </w:r>
      <w:proofErr w:type="gramStart"/>
      <w:r>
        <w:rPr>
          <w:rFonts w:ascii="宋体" w:eastAsia="宋体" w:hAnsi="宋体" w:cs="宋体" w:hint="eastAsia"/>
          <w:color w:val="222222"/>
          <w:shd w:val="clear" w:color="auto" w:fill="FFFFFF"/>
        </w:rPr>
        <w:t>研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学考察，运营负责人带队讲解，操盘者课堂深度解析，康养文旅、特色小镇、田园民宿、美丽乡村、田园综合体等</w:t>
      </w:r>
      <w:proofErr w:type="gramStart"/>
      <w:r>
        <w:rPr>
          <w:rFonts w:ascii="宋体" w:eastAsia="宋体" w:hAnsi="宋体" w:cs="宋体" w:hint="eastAsia"/>
          <w:color w:val="222222"/>
          <w:shd w:val="clear" w:color="auto" w:fill="FFFFFF"/>
        </w:rPr>
        <w:t>多主题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项目对</w:t>
      </w:r>
      <w:proofErr w:type="gramStart"/>
      <w:r>
        <w:rPr>
          <w:rFonts w:ascii="宋体" w:eastAsia="宋体" w:hAnsi="宋体" w:cs="宋体" w:hint="eastAsia"/>
          <w:color w:val="222222"/>
          <w:shd w:val="clear" w:color="auto" w:fill="FFFFFF"/>
        </w:rPr>
        <w:t>标研究</w:t>
      </w:r>
      <w:proofErr w:type="gramEnd"/>
      <w:r>
        <w:rPr>
          <w:rFonts w:ascii="宋体" w:eastAsia="宋体" w:hAnsi="宋体" w:cs="宋体" w:hint="eastAsia"/>
          <w:color w:val="222222"/>
          <w:shd w:val="clear" w:color="auto" w:fill="FFFFFF"/>
        </w:rPr>
        <w:t>和游学。</w:t>
      </w:r>
    </w:p>
    <w:p w:rsidR="00245E00" w:rsidRDefault="00F76D29">
      <w:pPr>
        <w:pStyle w:val="a5"/>
        <w:widowControl/>
        <w:spacing w:before="132" w:beforeAutospacing="0" w:after="258" w:afterAutospacing="0" w:line="40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【课程模块】</w:t>
      </w:r>
    </w:p>
    <w:p w:rsidR="00245E00" w:rsidRDefault="00F76D29">
      <w:pPr>
        <w:spacing w:line="400" w:lineRule="exact"/>
        <w:ind w:firstLineChars="200" w:firstLine="480"/>
        <w:rPr>
          <w:rFonts w:ascii="微软雅黑" w:eastAsia="微软雅黑" w:hAnsi="微软雅黑" w:cstheme="minorEastAsia"/>
          <w:sz w:val="24"/>
        </w:rPr>
      </w:pPr>
      <w:r>
        <w:rPr>
          <w:rFonts w:ascii="微软雅黑" w:eastAsia="微软雅黑" w:hAnsi="微软雅黑" w:cstheme="minorEastAsia" w:hint="eastAsia"/>
          <w:sz w:val="24"/>
        </w:rPr>
        <w:t>课程设置：</w:t>
      </w:r>
      <w:r>
        <w:rPr>
          <w:rFonts w:ascii="微软雅黑" w:eastAsia="微软雅黑" w:hAnsi="微软雅黑" w:cstheme="minorEastAsia" w:hint="eastAsia"/>
          <w:sz w:val="24"/>
        </w:rPr>
        <w:t>1</w:t>
      </w:r>
      <w:r>
        <w:rPr>
          <w:rFonts w:ascii="微软雅黑" w:eastAsia="微软雅黑" w:hAnsi="微软雅黑" w:cstheme="minorEastAsia" w:hint="eastAsia"/>
          <w:sz w:val="24"/>
        </w:rPr>
        <w:t>、宏观经济</w:t>
      </w:r>
      <w:r>
        <w:rPr>
          <w:rFonts w:ascii="微软雅黑" w:eastAsia="微软雅黑" w:hAnsi="微软雅黑" w:cstheme="minorEastAsia" w:hint="eastAsia"/>
          <w:sz w:val="24"/>
        </w:rPr>
        <w:t xml:space="preserve"> 2</w:t>
      </w:r>
      <w:r>
        <w:rPr>
          <w:rFonts w:ascii="微软雅黑" w:eastAsia="微软雅黑" w:hAnsi="微软雅黑" w:cstheme="minorEastAsia" w:hint="eastAsia"/>
          <w:sz w:val="24"/>
        </w:rPr>
        <w:t>、</w:t>
      </w:r>
      <w:r>
        <w:rPr>
          <w:rFonts w:ascii="微软雅黑" w:eastAsia="微软雅黑" w:hAnsi="微软雅黑" w:cstheme="minorEastAsia" w:hint="eastAsia"/>
          <w:sz w:val="24"/>
        </w:rPr>
        <w:t>康养产业</w:t>
      </w:r>
      <w:r>
        <w:rPr>
          <w:rFonts w:ascii="微软雅黑" w:eastAsia="微软雅黑" w:hAnsi="微软雅黑" w:cstheme="minorEastAsia" w:hint="eastAsia"/>
          <w:sz w:val="24"/>
        </w:rPr>
        <w:t xml:space="preserve"> 3</w:t>
      </w:r>
      <w:r>
        <w:rPr>
          <w:rFonts w:ascii="微软雅黑" w:eastAsia="微软雅黑" w:hAnsi="微软雅黑" w:cstheme="minorEastAsia" w:hint="eastAsia"/>
          <w:sz w:val="24"/>
        </w:rPr>
        <w:t>、</w:t>
      </w:r>
      <w:r>
        <w:rPr>
          <w:rFonts w:ascii="微软雅黑" w:eastAsia="微软雅黑" w:hAnsi="微软雅黑" w:cstheme="minorEastAsia" w:hint="eastAsia"/>
          <w:sz w:val="24"/>
        </w:rPr>
        <w:t>康养文旅</w:t>
      </w:r>
      <w:r>
        <w:rPr>
          <w:rFonts w:ascii="微软雅黑" w:eastAsia="微软雅黑" w:hAnsi="微软雅黑" w:cstheme="minorEastAsia" w:hint="eastAsia"/>
          <w:sz w:val="24"/>
        </w:rPr>
        <w:t xml:space="preserve"> 4</w:t>
      </w:r>
      <w:r>
        <w:rPr>
          <w:rFonts w:ascii="微软雅黑" w:eastAsia="微软雅黑" w:hAnsi="微软雅黑" w:cstheme="minorEastAsia" w:hint="eastAsia"/>
          <w:sz w:val="24"/>
        </w:rPr>
        <w:t>、</w:t>
      </w:r>
      <w:r>
        <w:rPr>
          <w:rFonts w:ascii="微软雅黑" w:eastAsia="微软雅黑" w:hAnsi="微软雅黑" w:cstheme="minorEastAsia" w:hint="eastAsia"/>
          <w:sz w:val="24"/>
        </w:rPr>
        <w:t>康养</w:t>
      </w:r>
      <w:r>
        <w:rPr>
          <w:rFonts w:ascii="微软雅黑" w:eastAsia="微软雅黑" w:hAnsi="微软雅黑" w:cstheme="minorEastAsia" w:hint="eastAsia"/>
          <w:sz w:val="24"/>
        </w:rPr>
        <w:t>地产</w:t>
      </w:r>
      <w:r>
        <w:rPr>
          <w:rFonts w:ascii="微软雅黑" w:eastAsia="微软雅黑" w:hAnsi="微软雅黑" w:cstheme="minorEastAsia" w:hint="eastAsia"/>
          <w:sz w:val="24"/>
        </w:rPr>
        <w:t xml:space="preserve"> 5</w:t>
      </w:r>
      <w:r>
        <w:rPr>
          <w:rFonts w:ascii="微软雅黑" w:eastAsia="微软雅黑" w:hAnsi="微软雅黑" w:cstheme="minorEastAsia" w:hint="eastAsia"/>
          <w:sz w:val="24"/>
        </w:rPr>
        <w:t>、</w:t>
      </w:r>
      <w:r>
        <w:rPr>
          <w:rFonts w:ascii="微软雅黑" w:eastAsia="微软雅黑" w:hAnsi="微软雅黑" w:cstheme="minorEastAsia" w:hint="eastAsia"/>
          <w:sz w:val="24"/>
        </w:rPr>
        <w:t>乡村振兴</w:t>
      </w:r>
      <w:r>
        <w:rPr>
          <w:rFonts w:ascii="微软雅黑" w:eastAsia="微软雅黑" w:hAnsi="微软雅黑" w:cstheme="minorEastAsia" w:hint="eastAsia"/>
          <w:sz w:val="24"/>
        </w:rPr>
        <w:t xml:space="preserve"> 6</w:t>
      </w:r>
      <w:r>
        <w:rPr>
          <w:rFonts w:ascii="微软雅黑" w:eastAsia="微软雅黑" w:hAnsi="微软雅黑" w:cstheme="minorEastAsia" w:hint="eastAsia"/>
          <w:sz w:val="24"/>
        </w:rPr>
        <w:t>、</w:t>
      </w:r>
      <w:r>
        <w:rPr>
          <w:rFonts w:ascii="微软雅黑" w:eastAsia="微软雅黑" w:hAnsi="微软雅黑" w:cstheme="minorEastAsia" w:hint="eastAsia"/>
          <w:sz w:val="24"/>
        </w:rPr>
        <w:t>标杆</w:t>
      </w:r>
      <w:proofErr w:type="gramStart"/>
      <w:r>
        <w:rPr>
          <w:rFonts w:ascii="微软雅黑" w:eastAsia="微软雅黑" w:hAnsi="微软雅黑" w:cstheme="minorEastAsia" w:hint="eastAsia"/>
          <w:sz w:val="24"/>
        </w:rPr>
        <w:t>研</w:t>
      </w:r>
      <w:proofErr w:type="gramEnd"/>
      <w:r>
        <w:rPr>
          <w:rFonts w:ascii="微软雅黑" w:eastAsia="微软雅黑" w:hAnsi="微软雅黑" w:cstheme="minorEastAsia" w:hint="eastAsia"/>
          <w:sz w:val="24"/>
        </w:rPr>
        <w:t>学</w:t>
      </w:r>
      <w:r>
        <w:rPr>
          <w:rFonts w:ascii="微软雅黑" w:eastAsia="微软雅黑" w:hAnsi="微软雅黑" w:cstheme="minorEastAsia" w:hint="eastAsia"/>
          <w:sz w:val="24"/>
        </w:rPr>
        <w:t xml:space="preserve"> </w:t>
      </w:r>
      <w:r>
        <w:rPr>
          <w:rFonts w:ascii="微软雅黑" w:eastAsia="微软雅黑" w:hAnsi="微软雅黑" w:cstheme="minorEastAsia" w:hint="eastAsia"/>
          <w:sz w:val="24"/>
        </w:rPr>
        <w:t>，共计</w:t>
      </w:r>
      <w:r>
        <w:rPr>
          <w:rFonts w:ascii="微软雅黑" w:eastAsia="微软雅黑" w:hAnsi="微软雅黑" w:cstheme="minorEastAsia" w:hint="eastAsia"/>
          <w:sz w:val="24"/>
        </w:rPr>
        <w:t>六</w:t>
      </w:r>
      <w:r>
        <w:rPr>
          <w:rFonts w:ascii="微软雅黑" w:eastAsia="微软雅黑" w:hAnsi="微软雅黑" w:cstheme="minorEastAsia" w:hint="eastAsia"/>
          <w:sz w:val="24"/>
        </w:rPr>
        <w:t>大</w:t>
      </w:r>
      <w:r>
        <w:rPr>
          <w:rFonts w:ascii="微软雅黑" w:eastAsia="微软雅黑" w:hAnsi="微软雅黑" w:cstheme="minorEastAsia" w:hint="eastAsia"/>
          <w:sz w:val="24"/>
        </w:rPr>
        <w:t>课程</w:t>
      </w:r>
      <w:r>
        <w:rPr>
          <w:rFonts w:ascii="微软雅黑" w:eastAsia="微软雅黑" w:hAnsi="微软雅黑" w:cstheme="minorEastAsia" w:hint="eastAsia"/>
          <w:sz w:val="24"/>
        </w:rPr>
        <w:t>模块。</w:t>
      </w:r>
    </w:p>
    <w:p w:rsidR="00245E00" w:rsidRDefault="00245E00">
      <w:pPr>
        <w:spacing w:line="400" w:lineRule="exact"/>
        <w:ind w:firstLineChars="200" w:firstLine="480"/>
        <w:rPr>
          <w:rFonts w:ascii="微软雅黑" w:eastAsia="微软雅黑" w:hAnsi="微软雅黑" w:cstheme="minorEastAsia"/>
          <w:sz w:val="24"/>
        </w:rPr>
      </w:pPr>
    </w:p>
    <w:p w:rsidR="00245E00" w:rsidRDefault="00F76D29">
      <w:pPr>
        <w:spacing w:line="40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01 |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课程体系</w:t>
      </w:r>
    </w:p>
    <w:p w:rsidR="00245E00" w:rsidRDefault="00245E00">
      <w:p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a6"/>
        <w:tblW w:w="9000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3416"/>
        <w:gridCol w:w="5584"/>
      </w:tblGrid>
      <w:tr w:rsidR="00245E00">
        <w:trPr>
          <w:trHeight w:val="650"/>
        </w:trPr>
        <w:tc>
          <w:tcPr>
            <w:tcW w:w="3416" w:type="dxa"/>
            <w:shd w:val="clear" w:color="auto" w:fill="C00000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5584" w:type="dxa"/>
            <w:shd w:val="clear" w:color="auto" w:fill="C00000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课程内容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第一模块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宏观经济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anchor distT="0" distB="0" distL="114935" distR="114935" simplePos="0" relativeHeight="252302336" behindDoc="1" locked="0" layoutInCell="1" allowOverlap="1">
                  <wp:simplePos x="0" y="0"/>
                  <wp:positionH relativeFrom="column">
                    <wp:posOffset>-1022985</wp:posOffset>
                  </wp:positionH>
                  <wp:positionV relativeFrom="page">
                    <wp:posOffset>694690</wp:posOffset>
                  </wp:positionV>
                  <wp:extent cx="7614285" cy="4377690"/>
                  <wp:effectExtent l="0" t="0" r="5715" b="3810"/>
                  <wp:wrapNone/>
                  <wp:docPr id="11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285" cy="437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全球经济走向和宏观经济发展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中国经济与世界政治经济格局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区域经济转型与产业创新发展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国家大健康战略政策法规解读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乡村振兴战略下的高质量发展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国家战略助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推康养产业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的发展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康养产业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发展趋势及最新政策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第二模块</w:t>
            </w:r>
          </w:p>
          <w:p w:rsidR="00245E00" w:rsidRDefault="00F76D29" w:rsidP="00856D5C">
            <w:pPr>
              <w:spacing w:beforeLines="50" w:before="156" w:afterLines="50" w:after="156" w:line="440" w:lineRule="exact"/>
              <w:jc w:val="center"/>
              <w:rPr>
                <w:rFonts w:ascii="宋体" w:hAnsi="宋体" w:cs="宋体"/>
                <w:b/>
                <w:color w:val="C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C00000"/>
                <w:sz w:val="24"/>
              </w:rPr>
              <w:t>康养产业</w:t>
            </w:r>
            <w:proofErr w:type="gramEnd"/>
          </w:p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区域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养一体化产业运营模式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中国康养产业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的基础模式研究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治未病为根本的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中国康养产业</w:t>
            </w:r>
            <w:proofErr w:type="gramEnd"/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康养全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产业链全程价值链体系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创新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生态康养与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养老产业融合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康养产业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与全域旅游融合发展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康养特色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kern w:val="0"/>
                <w:sz w:val="24"/>
                <w:lang w:bidi="ar"/>
              </w:rPr>
              <w:t>小镇的顶层设计模式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第三模块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仿宋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康养文旅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产业引领下康养文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旅开发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仿宋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城市康养文旅综合体商业模式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田园康养综合体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开发模式研究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森林康养模式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引领的生态开发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长寿城镇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村概念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引领产业开发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夜经济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是拉动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康养消费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的动能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360" w:lineRule="auto"/>
              <w:jc w:val="center"/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文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创主题式康养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度假园区开发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第四模块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康养地产</w:t>
            </w:r>
          </w:p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康养产业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是房地产转型突破口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大健康战略下的创新地产开发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新型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城镇化下的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康养地产转型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功能地产模式成就房地产升级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严控下的康养地产高质量发展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资本视角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下康养新城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创新模式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新形势下养老地产的系统开发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第五模块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color w:val="C00000"/>
                <w:sz w:val="24"/>
              </w:rPr>
              <w:drawing>
                <wp:anchor distT="0" distB="0" distL="114300" distR="114300" simplePos="0" relativeHeight="25225113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290195</wp:posOffset>
                  </wp:positionV>
                  <wp:extent cx="7681595" cy="4415790"/>
                  <wp:effectExtent l="0" t="0" r="14605" b="3810"/>
                  <wp:wrapNone/>
                  <wp:docPr id="6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595" cy="44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/>
                <w:color w:val="C00000"/>
                <w:sz w:val="24"/>
              </w:rPr>
              <w:t>乡村振兴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乡村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田园康养综合体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开发模式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农旅康养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民宿度假村开发模式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乡村振兴战略下一村一品运动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功能农业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成为康养产业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生力军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景观农业带动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康养农旅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的开发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循环农业与三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农经济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开发模式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田园文创和康养农庄产业开发</w:t>
            </w:r>
          </w:p>
        </w:tc>
      </w:tr>
      <w:tr w:rsidR="00245E00">
        <w:trPr>
          <w:trHeight w:val="468"/>
        </w:trPr>
        <w:tc>
          <w:tcPr>
            <w:tcW w:w="3416" w:type="dxa"/>
            <w:vMerge w:val="restart"/>
            <w:shd w:val="clear" w:color="auto" w:fill="auto"/>
            <w:vAlign w:val="center"/>
          </w:tcPr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第六模块</w:t>
            </w:r>
          </w:p>
          <w:p w:rsidR="00245E00" w:rsidRDefault="00F76D29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标杆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C00000"/>
                <w:sz w:val="24"/>
              </w:rPr>
              <w:t>学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国内外康养产业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标杆案例分享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康养实战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项目管理与经验借鉴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实地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考察康养产业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的成功案例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康养操盘手现场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解读成功经验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全产业链运营一体化解决模式</w:t>
            </w:r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color w:val="C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儒</w:t>
            </w:r>
            <w:proofErr w:type="gramEnd"/>
            <w:r>
              <w:rPr>
                <w:rFonts w:hint="eastAsia"/>
                <w:b/>
                <w:bCs/>
                <w:color w:val="C00000"/>
                <w:sz w:val="24"/>
              </w:rPr>
              <w:t>释道传统文化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解析康养产业</w:t>
            </w:r>
            <w:proofErr w:type="gramEnd"/>
          </w:p>
        </w:tc>
      </w:tr>
      <w:tr w:rsidR="00245E00">
        <w:trPr>
          <w:trHeight w:val="468"/>
        </w:trPr>
        <w:tc>
          <w:tcPr>
            <w:tcW w:w="3416" w:type="dxa"/>
            <w:vMerge/>
            <w:shd w:val="clear" w:color="auto" w:fill="auto"/>
            <w:vAlign w:val="center"/>
          </w:tcPr>
          <w:p w:rsidR="00245E00" w:rsidRDefault="00245E0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C00000"/>
                <w:sz w:val="24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 w:rsidR="00245E00" w:rsidRDefault="00F76D29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C00000"/>
                <w:sz w:val="24"/>
              </w:rPr>
              <w:t>5G</w:t>
            </w:r>
            <w:r>
              <w:rPr>
                <w:rFonts w:hint="eastAsia"/>
                <w:b/>
                <w:bCs/>
                <w:color w:val="C00000"/>
                <w:sz w:val="24"/>
              </w:rPr>
              <w:t>智能时代助推康养文</w:t>
            </w:r>
            <w:proofErr w:type="gramStart"/>
            <w:r>
              <w:rPr>
                <w:rFonts w:hint="eastAsia"/>
                <w:b/>
                <w:bCs/>
                <w:color w:val="C00000"/>
                <w:sz w:val="24"/>
              </w:rPr>
              <w:t>旅创新</w:t>
            </w:r>
            <w:proofErr w:type="gramEnd"/>
          </w:p>
        </w:tc>
      </w:tr>
    </w:tbl>
    <w:p w:rsidR="00245E00" w:rsidRDefault="00F76D29">
      <w:pPr>
        <w:pStyle w:val="a5"/>
        <w:widowControl/>
        <w:spacing w:before="132" w:beforeAutospacing="0" w:after="138" w:afterAutospacing="0" w:line="40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02</w:t>
      </w:r>
      <w:r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|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招生对象</w:t>
      </w:r>
    </w:p>
    <w:p w:rsidR="00245E00" w:rsidRDefault="00F76D29">
      <w:pPr>
        <w:pStyle w:val="a5"/>
        <w:widowControl/>
        <w:spacing w:beforeAutospacing="0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民营企业中的相关产业负责人、房地产开发、特色小镇、田园综合体相关投资商、开发商、相关产业链负责人；</w:t>
      </w:r>
    </w:p>
    <w:p w:rsidR="00245E00" w:rsidRDefault="00F76D29">
      <w:pPr>
        <w:pStyle w:val="a5"/>
        <w:widowControl/>
        <w:spacing w:beforeAutospacing="0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计划</w:t>
      </w:r>
      <w:proofErr w:type="gramStart"/>
      <w:r>
        <w:rPr>
          <w:rFonts w:ascii="宋体" w:eastAsia="宋体" w:hAnsi="宋体" w:cs="宋体" w:hint="eastAsia"/>
        </w:rPr>
        <w:t>进入康养产业</w:t>
      </w:r>
      <w:proofErr w:type="gramEnd"/>
      <w:r>
        <w:rPr>
          <w:rFonts w:ascii="宋体" w:eastAsia="宋体" w:hAnsi="宋体" w:cs="宋体" w:hint="eastAsia"/>
        </w:rPr>
        <w:t>的房地产开发企业，拥有存量物业的企业，酒店、医院、医疗机构、医药企业、养老机构、保险、康护、互联网企业等大健康产业</w:t>
      </w:r>
      <w:proofErr w:type="gramStart"/>
      <w:r>
        <w:rPr>
          <w:rFonts w:ascii="宋体" w:eastAsia="宋体" w:hAnsi="宋体" w:cs="宋体" w:hint="eastAsia"/>
        </w:rPr>
        <w:t>链主体</w:t>
      </w:r>
      <w:proofErr w:type="gramEnd"/>
      <w:r>
        <w:rPr>
          <w:rFonts w:ascii="宋体" w:eastAsia="宋体" w:hAnsi="宋体" w:cs="宋体" w:hint="eastAsia"/>
        </w:rPr>
        <w:t>负责人；</w:t>
      </w:r>
    </w:p>
    <w:p w:rsidR="00245E00" w:rsidRDefault="00F76D29">
      <w:pPr>
        <w:pStyle w:val="a5"/>
        <w:widowControl/>
        <w:spacing w:beforeAutospacing="0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规划设计院、工程建设、能源环保、文化创意、</w:t>
      </w:r>
      <w:r>
        <w:rPr>
          <w:rFonts w:ascii="宋体" w:eastAsia="宋体" w:hAnsi="宋体" w:cs="宋体" w:hint="eastAsia"/>
        </w:rPr>
        <w:t>IT</w:t>
      </w:r>
      <w:r>
        <w:rPr>
          <w:rFonts w:ascii="宋体" w:eastAsia="宋体" w:hAnsi="宋体" w:cs="宋体" w:hint="eastAsia"/>
        </w:rPr>
        <w:t>通信、娱乐传媒、商业咨询、制造业、金融管理公司、商业银行、其他投资机构负责人等。</w:t>
      </w:r>
    </w:p>
    <w:p w:rsidR="00245E00" w:rsidRDefault="00F76D29">
      <w:pPr>
        <w:pStyle w:val="a5"/>
        <w:widowControl/>
        <w:spacing w:before="12" w:beforeAutospacing="0" w:after="258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注：党政机关、事业单位、国有企业等国家公职人员不得参加或旁听。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03 |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报名条件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年以上工作经验及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年以上高层管理经验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04 |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报名程序</w:t>
      </w:r>
    </w:p>
    <w:p w:rsidR="00245E00" w:rsidRDefault="00F76D29">
      <w:pPr>
        <w:pStyle w:val="a5"/>
        <w:widowControl/>
        <w:numPr>
          <w:ilvl w:val="0"/>
          <w:numId w:val="1"/>
        </w:numPr>
        <w:spacing w:beforeAutospacing="0" w:after="138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填写《北京大学康养产业暨特色产业运营高级研修班》报名表；</w:t>
      </w:r>
    </w:p>
    <w:p w:rsidR="00245E00" w:rsidRDefault="00F76D29">
      <w:pPr>
        <w:pStyle w:val="a5"/>
        <w:widowControl/>
        <w:numPr>
          <w:ilvl w:val="0"/>
          <w:numId w:val="1"/>
        </w:numPr>
        <w:spacing w:beforeAutospacing="0" w:after="138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学校对报名表进行审核，并向学员发出录取通知书；</w:t>
      </w:r>
    </w:p>
    <w:p w:rsidR="00245E00" w:rsidRDefault="00F76D29">
      <w:pPr>
        <w:pStyle w:val="a5"/>
        <w:widowControl/>
        <w:numPr>
          <w:ilvl w:val="0"/>
          <w:numId w:val="1"/>
        </w:numPr>
        <w:spacing w:beforeAutospacing="0" w:after="138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学员收到录取通知书后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天内将学费汇至以下账户：</w:t>
      </w:r>
    </w:p>
    <w:p w:rsidR="00245E00" w:rsidRDefault="00F76D29">
      <w:pPr>
        <w:pStyle w:val="a5"/>
        <w:widowControl/>
        <w:numPr>
          <w:ilvl w:val="0"/>
          <w:numId w:val="1"/>
        </w:numPr>
        <w:spacing w:beforeAutospacing="0" w:after="138" w:afterAutospacing="0" w:line="400" w:lineRule="exact"/>
        <w:rPr>
          <w:rFonts w:ascii="宋体" w:eastAsia="宋体" w:hAnsi="宋体" w:cs="宋体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935" distR="114935" simplePos="0" relativeHeight="252281856" behindDoc="1" locked="0" layoutInCell="1" allowOverlap="1">
            <wp:simplePos x="0" y="0"/>
            <wp:positionH relativeFrom="column">
              <wp:posOffset>-1169670</wp:posOffset>
            </wp:positionH>
            <wp:positionV relativeFrom="page">
              <wp:posOffset>6372225</wp:posOffset>
            </wp:positionV>
            <wp:extent cx="7592695" cy="4364990"/>
            <wp:effectExtent l="0" t="0" r="8255" b="16510"/>
            <wp:wrapNone/>
            <wp:docPr id="9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D5C">
        <w:rPr>
          <w:rFonts w:ascii="宋体" w:eastAsia="宋体" w:hAnsi="宋体" w:cs="宋体" w:hint="eastAsia"/>
        </w:rPr>
        <w:t>报名缴费：</w:t>
      </w:r>
    </w:p>
    <w:p w:rsidR="00245E00" w:rsidRDefault="00F76D29">
      <w:pPr>
        <w:tabs>
          <w:tab w:val="left" w:pos="1665"/>
        </w:tabs>
        <w:adjustRightInd w:val="0"/>
        <w:snapToGrid w:val="0"/>
        <w:spacing w:line="48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收款单位：北京大学</w:t>
      </w:r>
    </w:p>
    <w:p w:rsidR="00245E00" w:rsidRDefault="00F76D29">
      <w:pPr>
        <w:tabs>
          <w:tab w:val="left" w:pos="1665"/>
        </w:tabs>
        <w:adjustRightInd w:val="0"/>
        <w:snapToGrid w:val="0"/>
        <w:spacing w:line="48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开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户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行：工商银行北京海淀西区支行</w:t>
      </w:r>
    </w:p>
    <w:p w:rsidR="00245E00" w:rsidRDefault="00F76D29">
      <w:pPr>
        <w:tabs>
          <w:tab w:val="left" w:pos="1665"/>
        </w:tabs>
        <w:adjustRightInd w:val="0"/>
        <w:snapToGrid w:val="0"/>
        <w:spacing w:line="480" w:lineRule="exac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帐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号：</w:t>
      </w:r>
      <w:r>
        <w:rPr>
          <w:b/>
          <w:bCs/>
          <w:szCs w:val="21"/>
        </w:rPr>
        <w:t>0200004509089131151</w:t>
      </w:r>
    </w:p>
    <w:p w:rsidR="00245E00" w:rsidRDefault="00F76D29">
      <w:pPr>
        <w:pStyle w:val="a5"/>
        <w:widowControl/>
        <w:numPr>
          <w:ilvl w:val="0"/>
          <w:numId w:val="1"/>
        </w:numPr>
        <w:spacing w:before="120" w:beforeAutospacing="0" w:after="138" w:afterAutospacing="0" w:line="4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学员报到应持本人身份证件，学历学位证书复印件，个人、单位简介各一份，近期免冠二寸彩色照片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张。</w:t>
      </w:r>
    </w:p>
    <w:p w:rsidR="00245E00" w:rsidRDefault="00F76D29">
      <w:pPr>
        <w:pStyle w:val="a5"/>
        <w:widowControl/>
        <w:spacing w:before="252" w:beforeAutospacing="0" w:after="258" w:afterAutospacing="0" w:line="340" w:lineRule="exact"/>
        <w:rPr>
          <w:rFonts w:ascii="微软雅黑" w:eastAsia="微软雅黑" w:hAnsi="微软雅黑" w:cs="微软雅黑"/>
          <w:color w:val="C00000"/>
          <w:sz w:val="32"/>
          <w:szCs w:val="32"/>
        </w:rPr>
      </w:pP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 xml:space="preserve">05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| </w:t>
      </w: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学习费用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人民币</w:t>
      </w:r>
      <w:r>
        <w:rPr>
          <w:rFonts w:ascii="宋体" w:eastAsia="宋体" w:hAnsi="宋体" w:cs="宋体" w:hint="eastAsia"/>
        </w:rPr>
        <w:t>398</w:t>
      </w:r>
      <w:r>
        <w:rPr>
          <w:rFonts w:ascii="宋体" w:eastAsia="宋体" w:hAnsi="宋体" w:cs="宋体" w:hint="eastAsia"/>
        </w:rPr>
        <w:t>00</w:t>
      </w:r>
      <w:r>
        <w:rPr>
          <w:rFonts w:ascii="宋体" w:eastAsia="宋体" w:hAnsi="宋体" w:cs="宋体" w:hint="eastAsia"/>
        </w:rPr>
        <w:t>元（</w:t>
      </w:r>
      <w:r>
        <w:rPr>
          <w:rFonts w:ascii="宋体" w:eastAsia="宋体" w:hAnsi="宋体" w:cs="宋体" w:hint="eastAsia"/>
        </w:rPr>
        <w:t>其中包含课程费</w:t>
      </w:r>
      <w:r>
        <w:rPr>
          <w:rFonts w:ascii="宋体" w:eastAsia="宋体" w:hAnsi="宋体" w:cs="宋体" w:hint="eastAsia"/>
        </w:rPr>
        <w:t>、讲义</w:t>
      </w:r>
      <w:r>
        <w:rPr>
          <w:rFonts w:ascii="宋体" w:eastAsia="宋体" w:hAnsi="宋体" w:cs="宋体" w:hint="eastAsia"/>
        </w:rPr>
        <w:t>制作费、结业证书</w:t>
      </w:r>
      <w:r>
        <w:rPr>
          <w:rFonts w:ascii="宋体" w:eastAsia="宋体" w:hAnsi="宋体" w:cs="宋体" w:hint="eastAsia"/>
        </w:rPr>
        <w:t>费</w:t>
      </w:r>
      <w:r>
        <w:rPr>
          <w:rFonts w:ascii="宋体" w:eastAsia="宋体" w:hAnsi="宋体" w:cs="宋体" w:hint="eastAsia"/>
        </w:rPr>
        <w:t>、管理费</w:t>
      </w:r>
      <w:r>
        <w:rPr>
          <w:rFonts w:ascii="宋体" w:eastAsia="宋体" w:hAnsi="宋体" w:cs="宋体" w:hint="eastAsia"/>
        </w:rPr>
        <w:t>）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微软雅黑" w:eastAsia="微软雅黑" w:hAnsi="微软雅黑" w:cs="微软雅黑"/>
          <w:color w:val="C00000"/>
          <w:sz w:val="32"/>
          <w:szCs w:val="32"/>
        </w:rPr>
      </w:pP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 xml:space="preserve">06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|</w:t>
      </w: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课程时间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每月一次，集中授课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天，共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次</w:t>
      </w:r>
      <w:r>
        <w:rPr>
          <w:rFonts w:ascii="宋体" w:eastAsia="宋体" w:hAnsi="宋体" w:cs="宋体" w:hint="eastAsia"/>
        </w:rPr>
        <w:t>课程</w:t>
      </w:r>
      <w:r>
        <w:rPr>
          <w:rFonts w:ascii="宋体" w:eastAsia="宋体" w:hAnsi="宋体" w:cs="宋体" w:hint="eastAsia"/>
        </w:rPr>
        <w:t>。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lastRenderedPageBreak/>
        <w:t>0</w:t>
      </w:r>
      <w:r w:rsidR="00856D5C"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7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 |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上课地点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  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北京大学</w:t>
      </w:r>
    </w:p>
    <w:p w:rsidR="00245E00" w:rsidRDefault="00F76D29">
      <w:pPr>
        <w:pStyle w:val="a5"/>
        <w:widowControl/>
        <w:spacing w:before="132" w:beforeAutospacing="0" w:after="258" w:afterAutospacing="0" w:line="340" w:lineRule="exact"/>
        <w:rPr>
          <w:rFonts w:ascii="微软雅黑" w:eastAsia="微软雅黑" w:hAnsi="微软雅黑" w:cs="微软雅黑"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noProof/>
          <w:color w:val="C00000"/>
          <w:sz w:val="32"/>
          <w:szCs w:val="32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163830</wp:posOffset>
            </wp:positionV>
            <wp:extent cx="1852930" cy="1285240"/>
            <wp:effectExtent l="0" t="0" r="13970" b="1016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0</w:t>
      </w:r>
      <w:r w:rsidR="00856D5C"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8</w:t>
      </w:r>
      <w:r>
        <w:rPr>
          <w:rStyle w:val="a7"/>
          <w:rFonts w:ascii="微软雅黑" w:eastAsia="微软雅黑" w:hAnsi="微软雅黑" w:cs="微软雅黑" w:hint="eastAsia"/>
          <w:color w:val="C00000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| </w:t>
      </w:r>
      <w:r>
        <w:rPr>
          <w:rStyle w:val="a7"/>
          <w:rFonts w:ascii="微软雅黑" w:eastAsia="微软雅黑" w:hAnsi="微软雅黑" w:cs="微软雅黑" w:hint="eastAsia"/>
          <w:color w:val="C00000"/>
          <w:sz w:val="32"/>
          <w:szCs w:val="32"/>
        </w:rPr>
        <w:t>学习证书</w:t>
      </w:r>
    </w:p>
    <w:p w:rsidR="00245E00" w:rsidRDefault="00F76D29">
      <w:pPr>
        <w:spacing w:line="34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>完成所有课程，</w:t>
      </w:r>
      <w:r>
        <w:rPr>
          <w:rFonts w:ascii="宋体" w:eastAsia="宋体" w:hAnsi="宋体" w:cs="宋体" w:hint="eastAsia"/>
          <w:sz w:val="24"/>
        </w:rPr>
        <w:t>颁发</w:t>
      </w:r>
      <w:r>
        <w:rPr>
          <w:rFonts w:ascii="宋体" w:eastAsia="宋体" w:hAnsi="宋体" w:cs="宋体" w:hint="eastAsia"/>
          <w:b/>
          <w:bCs/>
          <w:sz w:val="24"/>
        </w:rPr>
        <w:t>《</w:t>
      </w:r>
      <w:r>
        <w:rPr>
          <w:rFonts w:ascii="宋体" w:eastAsia="宋体" w:hAnsi="宋体" w:cs="宋体" w:hint="eastAsia"/>
          <w:b/>
          <w:bCs/>
          <w:sz w:val="24"/>
        </w:rPr>
        <w:t>北京</w:t>
      </w:r>
      <w:r>
        <w:rPr>
          <w:rFonts w:ascii="宋体" w:eastAsia="宋体" w:hAnsi="宋体" w:cs="宋体" w:hint="eastAsia"/>
          <w:b/>
          <w:bCs/>
          <w:sz w:val="24"/>
        </w:rPr>
        <w:t>大学</w:t>
      </w:r>
      <w:r>
        <w:rPr>
          <w:rFonts w:ascii="宋体" w:eastAsia="宋体" w:hAnsi="宋体" w:cs="宋体" w:hint="eastAsia"/>
          <w:b/>
          <w:bCs/>
          <w:sz w:val="24"/>
        </w:rPr>
        <w:t>康养产业暨特色产业运营高级研修班</w:t>
      </w:r>
      <w:r>
        <w:rPr>
          <w:rFonts w:ascii="宋体" w:eastAsia="宋体" w:hAnsi="宋体" w:cs="宋体" w:hint="eastAsia"/>
          <w:b/>
          <w:bCs/>
          <w:sz w:val="24"/>
        </w:rPr>
        <w:t>》</w:t>
      </w:r>
      <w:r>
        <w:rPr>
          <w:rFonts w:ascii="宋体" w:eastAsia="宋体" w:hAnsi="宋体" w:cs="宋体" w:hint="eastAsia"/>
          <w:sz w:val="24"/>
        </w:rPr>
        <w:t>结业证书，并成为</w:t>
      </w:r>
      <w:r>
        <w:rPr>
          <w:rFonts w:ascii="宋体" w:eastAsia="宋体" w:hAnsi="宋体" w:cs="宋体" w:hint="eastAsia"/>
          <w:sz w:val="24"/>
        </w:rPr>
        <w:t>北京大学</w:t>
      </w:r>
      <w:r>
        <w:rPr>
          <w:rFonts w:ascii="宋体" w:eastAsia="宋体" w:hAnsi="宋体" w:cs="宋体" w:hint="eastAsia"/>
          <w:sz w:val="24"/>
        </w:rPr>
        <w:t>校友</w:t>
      </w:r>
      <w:r>
        <w:rPr>
          <w:rFonts w:ascii="宋体" w:eastAsia="宋体" w:hAnsi="宋体" w:cs="宋体" w:hint="eastAsia"/>
          <w:sz w:val="24"/>
        </w:rPr>
        <w:t>，凭结业证书优先参加研修班组织的联谊、论坛、讲座。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304800" cy="304800"/>
            <wp:effectExtent l="0" t="0" r="0" b="0"/>
            <wp:docPr id="16" name="图片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45E00" w:rsidRDefault="00245E00">
      <w:pPr>
        <w:spacing w:line="40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</w:p>
    <w:p w:rsidR="00245E00" w:rsidRDefault="00856D5C">
      <w:pPr>
        <w:spacing w:beforeLines="100" w:before="312" w:afterLines="50" w:after="156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9</w:t>
      </w:r>
      <w:r w:rsidR="00F76D29"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| </w:t>
      </w:r>
      <w:r w:rsidR="00F76D29"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师资力量</w:t>
      </w:r>
      <w:r w:rsidR="00F76D29"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  </w:t>
      </w:r>
    </w:p>
    <w:p w:rsidR="00245E00" w:rsidRDefault="00F76D29">
      <w:pPr>
        <w:spacing w:line="400" w:lineRule="exact"/>
        <w:ind w:firstLineChars="200" w:firstLine="480"/>
        <w:rPr>
          <w:rFonts w:ascii="微软雅黑" w:eastAsia="微软雅黑" w:hAnsi="微软雅黑" w:cstheme="minorEastAsia"/>
          <w:sz w:val="24"/>
        </w:rPr>
      </w:pPr>
      <w:r>
        <w:rPr>
          <w:rFonts w:ascii="微软雅黑" w:eastAsia="微软雅黑" w:hAnsi="微软雅黑" w:cstheme="minorEastAsia" w:hint="eastAsia"/>
          <w:sz w:val="24"/>
        </w:rPr>
        <w:t>师资有国家部委相关部门领导，国内外著名专家学者，北大、清华等高校教授和国内外实战派专家。</w:t>
      </w:r>
    </w:p>
    <w:p w:rsidR="00245E00" w:rsidRDefault="00F76D29" w:rsidP="00856D5C">
      <w:pPr>
        <w:spacing w:beforeLines="100" w:before="312" w:afterLines="50" w:after="156"/>
        <w:rPr>
          <w:rFonts w:ascii="宋体" w:eastAsia="宋体" w:hAnsi="宋体" w:cs="宋体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935" distR="114935" simplePos="0" relativeHeight="252926976" behindDoc="1" locked="0" layoutInCell="1" allowOverlap="1">
            <wp:simplePos x="0" y="0"/>
            <wp:positionH relativeFrom="column">
              <wp:posOffset>-1161415</wp:posOffset>
            </wp:positionH>
            <wp:positionV relativeFrom="page">
              <wp:posOffset>6351270</wp:posOffset>
            </wp:positionV>
            <wp:extent cx="7592695" cy="4364990"/>
            <wp:effectExtent l="0" t="0" r="8255" b="16510"/>
            <wp:wrapNone/>
            <wp:docPr id="8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1</w:t>
      </w:r>
      <w:r w:rsidR="00856D5C">
        <w:rPr>
          <w:rFonts w:ascii="微软雅黑" w:eastAsia="微软雅黑" w:hAnsi="微软雅黑" w:cs="微软雅黑" w:hint="eastAsia"/>
          <w:b/>
          <w:bCs/>
          <w:color w:val="C00000"/>
          <w:sz w:val="36"/>
          <w:szCs w:val="36"/>
        </w:rPr>
        <w:t>0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 xml:space="preserve">| </w:t>
      </w:r>
      <w:r>
        <w:rPr>
          <w:rFonts w:ascii="微软雅黑" w:eastAsia="微软雅黑" w:hAnsi="微软雅黑" w:cs="微软雅黑" w:hint="eastAsia"/>
          <w:b/>
          <w:bCs/>
          <w:color w:val="C00000"/>
          <w:sz w:val="32"/>
          <w:szCs w:val="32"/>
        </w:rPr>
        <w:t>拟邀师资备选</w:t>
      </w:r>
      <w:r>
        <w:rPr>
          <w:rFonts w:ascii="宋体" w:eastAsia="宋体" w:hAnsi="宋体" w:cs="宋体" w:hint="eastAsia"/>
          <w:b/>
          <w:bCs/>
          <w:color w:val="C00000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bCs/>
          <w:color w:val="C00000"/>
          <w:sz w:val="28"/>
          <w:szCs w:val="28"/>
          <w:shd w:val="clear" w:color="auto" w:fill="FFFFFF"/>
        </w:rPr>
        <w:t>所有师资排名顺序不分先后）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林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坚</w:t>
      </w:r>
      <w:proofErr w:type="gramEnd"/>
      <w:r>
        <w:rPr>
          <w:rFonts w:ascii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北京大学城环学院城市与区域规划系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系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主任，教授，博士生导师，曾为中央政治局常委集中授课及讲解，介绍“土地政策”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李双成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北京大学城市与环境学院副院长，北京大学城市与环境学院自然地理教研室主任。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吴必虎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北京大学城市与环境学院城市与区域规划系教授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博士生导师，北京大</w:t>
      </w:r>
    </w:p>
    <w:p w:rsidR="00245E00" w:rsidRDefault="00F76D29">
      <w:pPr>
        <w:spacing w:line="460" w:lineRule="exact"/>
        <w:ind w:leftChars="456" w:left="958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学城市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与环境学院旅游研究与规划中心主任，主要研究领域有城市与区域旅游规划、目的地管理与营销以及更广泛的旅游与游憩研究等。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向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勇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北京大学文化产业研究院副院长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李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玲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>经济学教授，北京大学健康发展研究中心主任、国务院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医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改专家、健康中国</w:t>
      </w:r>
      <w:r>
        <w:rPr>
          <w:rFonts w:ascii="宋体" w:eastAsia="宋体" w:hAnsi="宋体" w:cs="宋体" w:hint="eastAsia"/>
          <w:color w:val="000000" w:themeColor="text1"/>
          <w:sz w:val="24"/>
        </w:rPr>
        <w:t>2030</w:t>
      </w:r>
      <w:r>
        <w:rPr>
          <w:rFonts w:ascii="宋体" w:eastAsia="宋体" w:hAnsi="宋体" w:cs="宋体" w:hint="eastAsia"/>
          <w:color w:val="000000" w:themeColor="text1"/>
          <w:sz w:val="24"/>
        </w:rPr>
        <w:t>规划纲要核心专家，国务院特殊津贴获得者，担任国务院城镇居民基本医疗保险试点评估专家组成员、国务院城镇居民基本医疗保险试点评估专家组成员、世界银行中国医疗卫生改革专家顾问、是国内最早提出政府主导公共卫生医疗的学者之一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王岳川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</w:rPr>
        <w:t>当代中国书法“文化书法”理论创始人，北京大学中文系教授、博士生导师，享受国务院特殊津贴专家。</w:t>
      </w:r>
      <w:r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lastRenderedPageBreak/>
        <w:t>李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忠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华高莱斯董事长兼总经理，中国最具独特见地的城市咨询专家，首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规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委专家组最年轻成员，中国最早从事城市咨询的独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立策划人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吴维海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国家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发改委国际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合作中心执行总监、研究员，中国人民大学管理学博士；国合华夏城市规划研究院执行院长，多个地方政府规划顾问。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刘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>嵘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中国老年保健医学研究会医养健康工委会会长，中国医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养健康文旅产业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联席会会长。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刘光溪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莒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北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管帅双绿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研究院学术委员会主任，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中国双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绿</w:t>
      </w:r>
      <w:r>
        <w:rPr>
          <w:rFonts w:ascii="宋体" w:eastAsia="宋体" w:hAnsi="宋体" w:cs="宋体" w:hint="eastAsia"/>
          <w:color w:val="000000" w:themeColor="text1"/>
          <w:sz w:val="24"/>
        </w:rPr>
        <w:t>66</w:t>
      </w:r>
      <w:r>
        <w:rPr>
          <w:rFonts w:ascii="宋体" w:eastAsia="宋体" w:hAnsi="宋体" w:cs="宋体" w:hint="eastAsia"/>
          <w:color w:val="000000" w:themeColor="text1"/>
          <w:sz w:val="24"/>
        </w:rPr>
        <w:t>人圆桌会专家委员会主席，中国首位</w:t>
      </w:r>
      <w:r>
        <w:rPr>
          <w:rFonts w:ascii="宋体" w:eastAsia="宋体" w:hAnsi="宋体" w:cs="宋体" w:hint="eastAsia"/>
          <w:color w:val="000000" w:themeColor="text1"/>
          <w:sz w:val="24"/>
        </w:rPr>
        <w:t>WTO</w:t>
      </w:r>
      <w:r>
        <w:rPr>
          <w:rFonts w:ascii="宋体" w:eastAsia="宋体" w:hAnsi="宋体" w:cs="宋体" w:hint="eastAsia"/>
          <w:color w:val="000000" w:themeColor="text1"/>
          <w:sz w:val="24"/>
        </w:rPr>
        <w:t>专业方向经济学博士、复旦大学政治学博士，博导，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中国国际贸易促进委员云南省委员会主任、中国国际商会常务理事。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侯胜田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>北京中医药大学管理学院教授，管理学博士，兼任清华大学社科学院健康产业与管理研究中心副主任、北京市中医生态文化研究会健康旅游专业委员会会长、中国林学会森林疗养分会理事。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魏玉栋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>历任农业部机关刊《农村工作通讯》（毛泽东主席题名）常务副主编、《农民文摘》主编、传统村落保护中央督查组组长、农业部美丽乡村创建办公室主任等职，兼任世界绿色设计组织乡村发展专委会执行秘书长。国家行政学院（中央党校）国家中高级干部培训课程授课专家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屠长风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</w:rPr>
        <w:t>国家智库）中国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兰图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智业研究院特聘专家和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金融委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副主任；中国创意研究院副院长；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绿维</w:t>
      </w:r>
      <w:r>
        <w:rPr>
          <w:rFonts w:ascii="宋体" w:eastAsia="宋体" w:hAnsi="宋体" w:cs="宋体" w:hint="eastAsia"/>
          <w:color w:val="000000" w:themeColor="text1"/>
          <w:sz w:val="24"/>
        </w:rPr>
        <w:t>创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景战略规划研究院院长。</w:t>
      </w:r>
    </w:p>
    <w:p w:rsidR="00245E00" w:rsidRDefault="00F76D29">
      <w:pPr>
        <w:spacing w:line="460" w:lineRule="exact"/>
        <w:ind w:left="964" w:hangingChars="400" w:hanging="964"/>
        <w:rPr>
          <w:rFonts w:ascii="宋体" w:eastAsia="宋体" w:hAnsi="宋体" w:cs="宋体"/>
          <w:color w:val="000000" w:themeColor="text1"/>
          <w:sz w:val="24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刘峻杰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>MPA</w:t>
      </w:r>
      <w:r>
        <w:rPr>
          <w:rFonts w:ascii="宋体" w:eastAsia="宋体" w:hAnsi="宋体" w:cs="宋体" w:hint="eastAsia"/>
          <w:color w:val="000000" w:themeColor="text1"/>
          <w:sz w:val="24"/>
        </w:rPr>
        <w:t>研究生，在中央、地方曾任处长、副部长、副专员（市长）、部长，高级经济师、大学客座教授，现任全国促进中医服务大众委员会副主任、中医智库成员。</w:t>
      </w:r>
    </w:p>
    <w:p w:rsidR="00245E00" w:rsidRDefault="00F76D29">
      <w:pPr>
        <w:spacing w:line="460" w:lineRule="exact"/>
        <w:ind w:left="1120" w:hangingChars="400" w:hanging="112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2261376" behindDoc="1" locked="0" layoutInCell="1" allowOverlap="1">
            <wp:simplePos x="0" y="0"/>
            <wp:positionH relativeFrom="column">
              <wp:posOffset>-1169670</wp:posOffset>
            </wp:positionH>
            <wp:positionV relativeFrom="page">
              <wp:posOffset>6324600</wp:posOffset>
            </wp:positionV>
            <wp:extent cx="7592695" cy="4364990"/>
            <wp:effectExtent l="0" t="0" r="8255" b="16510"/>
            <wp:wrapNone/>
            <wp:docPr id="4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李定纲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</w:t>
      </w:r>
      <w:r>
        <w:rPr>
          <w:rFonts w:ascii="宋体" w:eastAsia="宋体" w:hAnsi="宋体" w:cs="宋体" w:hint="eastAsia"/>
          <w:color w:val="000000" w:themeColor="text1"/>
          <w:sz w:val="24"/>
        </w:rPr>
        <w:t>主任医师，北京陆道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</w:rPr>
        <w:t>培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</w:rPr>
        <w:t>血液病医院执行院长，中国医疗保健促进会国际医疗旅游分会执行副会长。</w:t>
      </w:r>
      <w:r>
        <w:rPr>
          <w:rFonts w:ascii="宋体" w:eastAsia="宋体" w:hAnsi="宋体" w:cs="宋体" w:hint="eastAsia"/>
          <w:noProof/>
          <w:color w:val="000000" w:themeColor="text1"/>
          <w:sz w:val="24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5925185</wp:posOffset>
            </wp:positionV>
            <wp:extent cx="7592695" cy="4364990"/>
            <wp:effectExtent l="0" t="0" r="8255" b="16510"/>
            <wp:wrapNone/>
            <wp:docPr id="3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5E00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29" w:rsidRDefault="00F76D29">
      <w:r>
        <w:separator/>
      </w:r>
    </w:p>
  </w:endnote>
  <w:endnote w:type="continuationSeparator" w:id="0">
    <w:p w:rsidR="00F76D29" w:rsidRDefault="00F7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29" w:rsidRDefault="00F76D29">
      <w:r>
        <w:separator/>
      </w:r>
    </w:p>
  </w:footnote>
  <w:footnote w:type="continuationSeparator" w:id="0">
    <w:p w:rsidR="00F76D29" w:rsidRDefault="00F7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00" w:rsidRDefault="00F76D29">
    <w:pPr>
      <w:rPr>
        <w:color w:val="C00000"/>
      </w:rPr>
    </w:pPr>
    <w:r>
      <w:rPr>
        <w:rFonts w:hint="eastAsia"/>
        <w:noProof/>
      </w:rPr>
      <w:drawing>
        <wp:inline distT="0" distB="0" distL="114300" distR="114300">
          <wp:extent cx="1644015" cy="430530"/>
          <wp:effectExtent l="0" t="0" r="13335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 w:rsidR="00245E00" w:rsidRDefault="00245E00">
    <w:pPr>
      <w:pStyle w:val="a4"/>
      <w:pBdr>
        <w:bottom w:val="double" w:sz="8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EBC"/>
    <w:multiLevelType w:val="singleLevel"/>
    <w:tmpl w:val="57326E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6182"/>
    <w:rsid w:val="00245E00"/>
    <w:rsid w:val="00791E47"/>
    <w:rsid w:val="00856D5C"/>
    <w:rsid w:val="00A1349E"/>
    <w:rsid w:val="00F76D29"/>
    <w:rsid w:val="01A63274"/>
    <w:rsid w:val="020429DF"/>
    <w:rsid w:val="028A130E"/>
    <w:rsid w:val="028C7275"/>
    <w:rsid w:val="06E758F2"/>
    <w:rsid w:val="07D84050"/>
    <w:rsid w:val="08055909"/>
    <w:rsid w:val="084347AF"/>
    <w:rsid w:val="094C5678"/>
    <w:rsid w:val="0A663D5B"/>
    <w:rsid w:val="0CC779CC"/>
    <w:rsid w:val="0CE87B98"/>
    <w:rsid w:val="0E421681"/>
    <w:rsid w:val="0E421E65"/>
    <w:rsid w:val="0E580123"/>
    <w:rsid w:val="100C7FC6"/>
    <w:rsid w:val="107B21BB"/>
    <w:rsid w:val="13EC557C"/>
    <w:rsid w:val="145A5D72"/>
    <w:rsid w:val="14E372C2"/>
    <w:rsid w:val="172524CB"/>
    <w:rsid w:val="185B51B4"/>
    <w:rsid w:val="194054B7"/>
    <w:rsid w:val="1A594145"/>
    <w:rsid w:val="1C5B3ACD"/>
    <w:rsid w:val="1D8F6DAD"/>
    <w:rsid w:val="1DA32C54"/>
    <w:rsid w:val="1DB16E4D"/>
    <w:rsid w:val="1E7B4421"/>
    <w:rsid w:val="1F3F16BD"/>
    <w:rsid w:val="205E46E7"/>
    <w:rsid w:val="238F7B26"/>
    <w:rsid w:val="239B7DB8"/>
    <w:rsid w:val="24532449"/>
    <w:rsid w:val="2572155F"/>
    <w:rsid w:val="264053DC"/>
    <w:rsid w:val="26951EB7"/>
    <w:rsid w:val="274D3A4B"/>
    <w:rsid w:val="280A2EBF"/>
    <w:rsid w:val="29490A67"/>
    <w:rsid w:val="2AEF637D"/>
    <w:rsid w:val="2C612141"/>
    <w:rsid w:val="2DE75120"/>
    <w:rsid w:val="314F0FD0"/>
    <w:rsid w:val="3D7E358F"/>
    <w:rsid w:val="3E047E02"/>
    <w:rsid w:val="41933FE1"/>
    <w:rsid w:val="42E66490"/>
    <w:rsid w:val="43A56EF4"/>
    <w:rsid w:val="454C2BEF"/>
    <w:rsid w:val="46A26182"/>
    <w:rsid w:val="46D24ACD"/>
    <w:rsid w:val="46D34A2F"/>
    <w:rsid w:val="482E5CAD"/>
    <w:rsid w:val="498412F6"/>
    <w:rsid w:val="49F50975"/>
    <w:rsid w:val="4A0F2295"/>
    <w:rsid w:val="4BD77AFB"/>
    <w:rsid w:val="4BDE7F66"/>
    <w:rsid w:val="4D0D0BA1"/>
    <w:rsid w:val="4DA47791"/>
    <w:rsid w:val="4E950F57"/>
    <w:rsid w:val="51A136B3"/>
    <w:rsid w:val="521E326F"/>
    <w:rsid w:val="52920E7F"/>
    <w:rsid w:val="58627115"/>
    <w:rsid w:val="5B3048FD"/>
    <w:rsid w:val="5BC03C00"/>
    <w:rsid w:val="604576C3"/>
    <w:rsid w:val="6084174D"/>
    <w:rsid w:val="612A0CEF"/>
    <w:rsid w:val="624C37C0"/>
    <w:rsid w:val="62DC29C9"/>
    <w:rsid w:val="6388164F"/>
    <w:rsid w:val="64FD11E2"/>
    <w:rsid w:val="653F4906"/>
    <w:rsid w:val="66202E70"/>
    <w:rsid w:val="67086C06"/>
    <w:rsid w:val="6A2E2ABF"/>
    <w:rsid w:val="6EE107D1"/>
    <w:rsid w:val="6F9B1484"/>
    <w:rsid w:val="6FC30AE2"/>
    <w:rsid w:val="6FC81AB1"/>
    <w:rsid w:val="6FEA1FD7"/>
    <w:rsid w:val="724366C6"/>
    <w:rsid w:val="725A6A19"/>
    <w:rsid w:val="72862E9A"/>
    <w:rsid w:val="732B60B8"/>
    <w:rsid w:val="748F7D4E"/>
    <w:rsid w:val="75793338"/>
    <w:rsid w:val="75895A20"/>
    <w:rsid w:val="76E82D68"/>
    <w:rsid w:val="772D7D32"/>
    <w:rsid w:val="785A1147"/>
    <w:rsid w:val="78B9577D"/>
    <w:rsid w:val="7A1D76E6"/>
    <w:rsid w:val="7ABF58D3"/>
    <w:rsid w:val="7CB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856D5C"/>
    <w:rPr>
      <w:sz w:val="18"/>
      <w:szCs w:val="18"/>
    </w:rPr>
  </w:style>
  <w:style w:type="character" w:customStyle="1" w:styleId="Char">
    <w:name w:val="批注框文本 Char"/>
    <w:basedOn w:val="a0"/>
    <w:link w:val="a9"/>
    <w:rsid w:val="00856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856D5C"/>
    <w:rPr>
      <w:sz w:val="18"/>
      <w:szCs w:val="18"/>
    </w:rPr>
  </w:style>
  <w:style w:type="character" w:customStyle="1" w:styleId="Char">
    <w:name w:val="批注框文本 Char"/>
    <w:basedOn w:val="a0"/>
    <w:link w:val="a9"/>
    <w:rsid w:val="00856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NUL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2974</Characters>
  <Application>Microsoft Office Word</Application>
  <DocSecurity>0</DocSecurity>
  <Lines>24</Lines>
  <Paragraphs>6</Paragraphs>
  <ScaleCrop>false</ScaleCrop>
  <Company>MS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燕北文殊书院   吉老师</dc:creator>
  <cp:lastModifiedBy>Administrator</cp:lastModifiedBy>
  <cp:revision>2</cp:revision>
  <cp:lastPrinted>2019-07-01T08:42:00Z</cp:lastPrinted>
  <dcterms:created xsi:type="dcterms:W3CDTF">2021-05-01T03:18:00Z</dcterms:created>
  <dcterms:modified xsi:type="dcterms:W3CDTF">2021-05-01T03:18:00Z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