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12" w:rsidRDefault="005B59C5">
      <w:pPr>
        <w:spacing w:line="200" w:lineRule="exact"/>
        <w:rPr>
          <w:sz w:val="24"/>
          <w:szCs w:val="24"/>
        </w:rPr>
      </w:pPr>
      <w:bookmarkStart w:id="0" w:name="page1"/>
      <w:bookmarkEnd w:id="0"/>
      <w:r>
        <w:rPr>
          <w:noProof/>
          <w:sz w:val="24"/>
          <w:szCs w:val="24"/>
        </w:rPr>
        <w:drawing>
          <wp:anchor distT="0" distB="0" distL="114300" distR="114300" simplePos="0" relativeHeight="251641856" behindDoc="1" locked="0" layoutInCell="0" allowOverlap="1">
            <wp:simplePos x="0" y="0"/>
            <wp:positionH relativeFrom="page">
              <wp:posOffset>848995</wp:posOffset>
            </wp:positionH>
            <wp:positionV relativeFrom="page">
              <wp:posOffset>365125</wp:posOffset>
            </wp:positionV>
            <wp:extent cx="2491105" cy="715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491105" cy="715645"/>
                    </a:xfrm>
                    <a:prstGeom prst="rect">
                      <a:avLst/>
                    </a:prstGeom>
                    <a:noFill/>
                  </pic:spPr>
                </pic:pic>
              </a:graphicData>
            </a:graphic>
          </wp:anchor>
        </w:drawing>
      </w:r>
    </w:p>
    <w:p w:rsidR="00E70C12" w:rsidRDefault="00E70C12">
      <w:pPr>
        <w:spacing w:line="331" w:lineRule="exact"/>
        <w:rPr>
          <w:sz w:val="24"/>
          <w:szCs w:val="24"/>
        </w:rPr>
      </w:pPr>
    </w:p>
    <w:p w:rsidR="00E70C12" w:rsidRDefault="005B59C5">
      <w:pPr>
        <w:spacing w:line="548" w:lineRule="exact"/>
        <w:ind w:right="6"/>
        <w:jc w:val="center"/>
        <w:rPr>
          <w:sz w:val="20"/>
          <w:szCs w:val="20"/>
        </w:rPr>
      </w:pPr>
      <w:r>
        <w:rPr>
          <w:rFonts w:ascii="楷体" w:eastAsia="楷体" w:hAnsi="楷体" w:cs="楷体"/>
          <w:b/>
          <w:bCs/>
          <w:color w:val="C00000"/>
          <w:sz w:val="48"/>
          <w:szCs w:val="48"/>
        </w:rPr>
        <w:t>数字金融高级研修班</w:t>
      </w:r>
    </w:p>
    <w:p w:rsidR="00E70C12" w:rsidRDefault="00E70C12">
      <w:pPr>
        <w:spacing w:line="307" w:lineRule="exact"/>
        <w:rPr>
          <w:sz w:val="24"/>
          <w:szCs w:val="24"/>
        </w:rPr>
      </w:pPr>
    </w:p>
    <w:p w:rsidR="00E70C12" w:rsidRPr="00632096" w:rsidRDefault="00E70C12">
      <w:pPr>
        <w:spacing w:line="313" w:lineRule="exact"/>
        <w:rPr>
          <w:sz w:val="24"/>
          <w:szCs w:val="24"/>
        </w:rPr>
      </w:pPr>
    </w:p>
    <w:p w:rsidR="00E70C12" w:rsidRDefault="005B59C5">
      <w:pPr>
        <w:spacing w:line="320" w:lineRule="exact"/>
        <w:ind w:right="6"/>
        <w:jc w:val="center"/>
        <w:rPr>
          <w:sz w:val="20"/>
          <w:szCs w:val="20"/>
        </w:rPr>
      </w:pPr>
      <w:r>
        <w:rPr>
          <w:rFonts w:ascii="宋体" w:eastAsia="宋体" w:hAnsi="宋体" w:cs="宋体"/>
          <w:b/>
          <w:bCs/>
          <w:sz w:val="28"/>
          <w:szCs w:val="28"/>
        </w:rPr>
        <w:t>学习必须是一种习惯，一切都在变唯有学习不能变</w:t>
      </w:r>
    </w:p>
    <w:p w:rsidR="00E70C12" w:rsidRDefault="00E70C12">
      <w:pPr>
        <w:spacing w:line="364" w:lineRule="exact"/>
        <w:rPr>
          <w:sz w:val="24"/>
          <w:szCs w:val="24"/>
        </w:rPr>
      </w:pPr>
    </w:p>
    <w:p w:rsidR="00E70C12" w:rsidRDefault="005B59C5">
      <w:pPr>
        <w:spacing w:line="360" w:lineRule="exact"/>
        <w:ind w:left="360" w:right="386" w:firstLine="240"/>
        <w:jc w:val="both"/>
        <w:rPr>
          <w:sz w:val="20"/>
          <w:szCs w:val="20"/>
        </w:rPr>
      </w:pPr>
      <w:r>
        <w:rPr>
          <w:rFonts w:ascii="宋体" w:eastAsia="宋体" w:hAnsi="宋体" w:cs="宋体"/>
          <w:sz w:val="24"/>
          <w:szCs w:val="24"/>
        </w:rPr>
        <w:t>北京大学是教育部直属的国家重点大学，位列国家</w:t>
      </w:r>
      <w:r>
        <w:rPr>
          <w:rFonts w:ascii="宋体" w:eastAsia="宋体" w:hAnsi="宋体" w:cs="宋体"/>
          <w:sz w:val="24"/>
          <w:szCs w:val="24"/>
        </w:rPr>
        <w:t>“</w:t>
      </w:r>
      <w:r>
        <w:rPr>
          <w:rFonts w:ascii="宋体" w:eastAsia="宋体" w:hAnsi="宋体" w:cs="宋体"/>
          <w:sz w:val="24"/>
          <w:szCs w:val="24"/>
        </w:rPr>
        <w:t>双一流</w:t>
      </w:r>
      <w:r>
        <w:rPr>
          <w:rFonts w:ascii="宋体" w:eastAsia="宋体" w:hAnsi="宋体" w:cs="宋体"/>
          <w:sz w:val="24"/>
          <w:szCs w:val="24"/>
        </w:rPr>
        <w:t>”</w:t>
      </w:r>
      <w:r>
        <w:rPr>
          <w:rFonts w:ascii="宋体" w:eastAsia="宋体" w:hAnsi="宋体" w:cs="宋体"/>
          <w:sz w:val="24"/>
          <w:szCs w:val="24"/>
        </w:rPr>
        <w:t>大学和学科建设首位。北京大学经济学院始于</w:t>
      </w:r>
      <w:r>
        <w:rPr>
          <w:rFonts w:ascii="宋体" w:eastAsia="宋体" w:hAnsi="宋体" w:cs="宋体"/>
          <w:sz w:val="24"/>
          <w:szCs w:val="24"/>
        </w:rPr>
        <w:t xml:space="preserve"> 1902 </w:t>
      </w:r>
      <w:r>
        <w:rPr>
          <w:rFonts w:ascii="宋体" w:eastAsia="宋体" w:hAnsi="宋体" w:cs="宋体"/>
          <w:sz w:val="24"/>
          <w:szCs w:val="24"/>
        </w:rPr>
        <w:t>年的京师大学堂商科和</w:t>
      </w:r>
      <w:r>
        <w:rPr>
          <w:rFonts w:ascii="宋体" w:eastAsia="宋体" w:hAnsi="宋体" w:cs="宋体"/>
          <w:sz w:val="24"/>
          <w:szCs w:val="24"/>
        </w:rPr>
        <w:t xml:space="preserve"> 1912 </w:t>
      </w:r>
      <w:r>
        <w:rPr>
          <w:rFonts w:ascii="宋体" w:eastAsia="宋体" w:hAnsi="宋体" w:cs="宋体"/>
          <w:sz w:val="24"/>
          <w:szCs w:val="24"/>
        </w:rPr>
        <w:t>年的经济学门（系），是北京大学历史最悠久的院系之一，也是中国高等院校中最早建立的专门经济系科。</w:t>
      </w:r>
    </w:p>
    <w:p w:rsidR="00E70C12" w:rsidRDefault="00E70C12">
      <w:pPr>
        <w:spacing w:line="363" w:lineRule="exact"/>
        <w:rPr>
          <w:sz w:val="24"/>
          <w:szCs w:val="24"/>
        </w:rPr>
      </w:pPr>
    </w:p>
    <w:p w:rsidR="00E70C12" w:rsidRDefault="005B59C5">
      <w:pPr>
        <w:spacing w:line="373" w:lineRule="exact"/>
        <w:ind w:left="360" w:right="446"/>
        <w:jc w:val="both"/>
        <w:rPr>
          <w:sz w:val="20"/>
          <w:szCs w:val="20"/>
        </w:rPr>
      </w:pPr>
      <w:r>
        <w:rPr>
          <w:rFonts w:ascii="宋体" w:eastAsia="宋体" w:hAnsi="宋体" w:cs="宋体"/>
          <w:sz w:val="24"/>
          <w:szCs w:val="24"/>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w:t>
      </w:r>
      <w:r>
        <w:rPr>
          <w:rFonts w:ascii="宋体" w:eastAsia="宋体" w:hAnsi="宋体" w:cs="宋体"/>
          <w:sz w:val="24"/>
          <w:szCs w:val="24"/>
        </w:rPr>
        <w:t xml:space="preserve"> ESI </w:t>
      </w:r>
      <w:r>
        <w:rPr>
          <w:rFonts w:ascii="宋体" w:eastAsia="宋体" w:hAnsi="宋体" w:cs="宋体"/>
          <w:sz w:val="24"/>
          <w:szCs w:val="24"/>
        </w:rPr>
        <w:t>指数的前</w:t>
      </w:r>
      <w:r>
        <w:rPr>
          <w:rFonts w:ascii="宋体" w:eastAsia="宋体" w:hAnsi="宋体" w:cs="宋体"/>
          <w:sz w:val="24"/>
          <w:szCs w:val="24"/>
        </w:rPr>
        <w:t xml:space="preserve"> 1%</w:t>
      </w:r>
      <w:r>
        <w:rPr>
          <w:rFonts w:ascii="宋体" w:eastAsia="宋体" w:hAnsi="宋体" w:cs="宋体"/>
          <w:sz w:val="24"/>
          <w:szCs w:val="24"/>
        </w:rPr>
        <w:t>行列，居国内领先地位。研究成果对我国的经济改革与社会发展产生着重大的影响和推动作用，为改革开放和新时代中国特色社会主义建设做出了重要的智力贡献。</w:t>
      </w:r>
    </w:p>
    <w:p w:rsidR="00E70C12" w:rsidRDefault="00E70C12">
      <w:pPr>
        <w:spacing w:line="362" w:lineRule="exact"/>
        <w:rPr>
          <w:sz w:val="24"/>
          <w:szCs w:val="24"/>
        </w:rPr>
      </w:pPr>
    </w:p>
    <w:p w:rsidR="00E70C12" w:rsidRDefault="005B59C5">
      <w:pPr>
        <w:spacing w:line="368" w:lineRule="exact"/>
        <w:ind w:left="360" w:right="506"/>
        <w:jc w:val="both"/>
        <w:rPr>
          <w:sz w:val="20"/>
          <w:szCs w:val="20"/>
        </w:rPr>
      </w:pPr>
      <w:r>
        <w:rPr>
          <w:rFonts w:ascii="宋体" w:eastAsia="宋体" w:hAnsi="宋体" w:cs="宋体"/>
          <w:sz w:val="24"/>
          <w:szCs w:val="24"/>
        </w:rPr>
        <w:t>北京大学经济学院是国家教育部确定的</w:t>
      </w:r>
      <w:r>
        <w:rPr>
          <w:rFonts w:ascii="宋体" w:eastAsia="宋体" w:hAnsi="宋体" w:cs="宋体"/>
          <w:sz w:val="24"/>
          <w:szCs w:val="24"/>
        </w:rPr>
        <w:t>“</w:t>
      </w:r>
      <w:r>
        <w:rPr>
          <w:rFonts w:ascii="宋体" w:eastAsia="宋体" w:hAnsi="宋体" w:cs="宋体"/>
          <w:sz w:val="24"/>
          <w:szCs w:val="24"/>
        </w:rPr>
        <w:t>国家经济学基础人才培养基地</w:t>
      </w:r>
      <w:r>
        <w:rPr>
          <w:rFonts w:ascii="宋体" w:eastAsia="宋体" w:hAnsi="宋体" w:cs="宋体"/>
          <w:sz w:val="24"/>
          <w:szCs w:val="24"/>
        </w:rPr>
        <w:t>”</w:t>
      </w:r>
      <w:r>
        <w:rPr>
          <w:rFonts w:ascii="宋体" w:eastAsia="宋体" w:hAnsi="宋体" w:cs="宋体"/>
          <w:sz w:val="24"/>
          <w:szCs w:val="24"/>
        </w:rPr>
        <w:t>和</w:t>
      </w:r>
      <w:r>
        <w:rPr>
          <w:rFonts w:ascii="宋体" w:eastAsia="宋体" w:hAnsi="宋体" w:cs="宋体"/>
          <w:sz w:val="24"/>
          <w:szCs w:val="24"/>
        </w:rPr>
        <w:t>“</w:t>
      </w:r>
      <w:r>
        <w:rPr>
          <w:rFonts w:ascii="宋体" w:eastAsia="宋体" w:hAnsi="宋体" w:cs="宋体"/>
          <w:sz w:val="24"/>
          <w:szCs w:val="24"/>
        </w:rPr>
        <w:t>全国人才培养模式创新实验区</w:t>
      </w:r>
      <w:r>
        <w:rPr>
          <w:rFonts w:ascii="宋体" w:eastAsia="宋体" w:hAnsi="宋体" w:cs="宋体"/>
          <w:sz w:val="24"/>
          <w:szCs w:val="24"/>
        </w:rPr>
        <w:t>”</w:t>
      </w:r>
      <w:r>
        <w:rPr>
          <w:rFonts w:ascii="宋体" w:eastAsia="宋体" w:hAnsi="宋体" w:cs="宋体"/>
          <w:sz w:val="24"/>
          <w:szCs w:val="24"/>
        </w:rPr>
        <w:t>。教育目标是为未来大师级的学者、</w:t>
      </w:r>
      <w:r>
        <w:rPr>
          <w:rFonts w:ascii="宋体" w:eastAsia="宋体" w:hAnsi="宋体" w:cs="宋体"/>
          <w:sz w:val="24"/>
          <w:szCs w:val="24"/>
        </w:rPr>
        <w:t>大企业家、大科学家、大政治家注入优秀的</w:t>
      </w:r>
      <w:r>
        <w:rPr>
          <w:rFonts w:ascii="宋体" w:eastAsia="宋体" w:hAnsi="宋体" w:cs="宋体"/>
          <w:sz w:val="24"/>
          <w:szCs w:val="24"/>
        </w:rPr>
        <w:t>“</w:t>
      </w:r>
      <w:r>
        <w:rPr>
          <w:rFonts w:ascii="宋体" w:eastAsia="宋体" w:hAnsi="宋体" w:cs="宋体"/>
          <w:sz w:val="24"/>
          <w:szCs w:val="24"/>
        </w:rPr>
        <w:t>基因</w:t>
      </w:r>
      <w:r>
        <w:rPr>
          <w:rFonts w:ascii="宋体" w:eastAsia="宋体" w:hAnsi="宋体" w:cs="宋体"/>
          <w:sz w:val="24"/>
          <w:szCs w:val="24"/>
        </w:rPr>
        <w:t>”</w:t>
      </w:r>
      <w:r>
        <w:rPr>
          <w:rFonts w:ascii="宋体" w:eastAsia="宋体" w:hAnsi="宋体" w:cs="宋体"/>
          <w:sz w:val="24"/>
          <w:szCs w:val="24"/>
        </w:rPr>
        <w:t>。其悠久的历史、深厚的学术底蕴、重要的学术地位、不断创新的人才培养模式，吸引着来自全国乃至世界各地的优秀学子。</w:t>
      </w:r>
    </w:p>
    <w:p w:rsidR="00E70C12" w:rsidRDefault="00E70C12">
      <w:pPr>
        <w:spacing w:line="276" w:lineRule="exact"/>
        <w:rPr>
          <w:sz w:val="24"/>
          <w:szCs w:val="24"/>
        </w:rPr>
      </w:pPr>
    </w:p>
    <w:p w:rsidR="00E70C12" w:rsidRDefault="005B59C5">
      <w:pPr>
        <w:spacing w:line="274" w:lineRule="exact"/>
        <w:ind w:left="360"/>
        <w:rPr>
          <w:sz w:val="20"/>
          <w:szCs w:val="20"/>
        </w:rPr>
      </w:pPr>
      <w:r>
        <w:rPr>
          <w:rFonts w:ascii="宋体" w:eastAsia="宋体" w:hAnsi="宋体" w:cs="宋体"/>
          <w:color w:val="C00000"/>
          <w:sz w:val="24"/>
          <w:szCs w:val="24"/>
        </w:rPr>
        <w:t>【课程特色】</w:t>
      </w:r>
    </w:p>
    <w:p w:rsidR="00E70C12" w:rsidRDefault="00E70C12">
      <w:pPr>
        <w:spacing w:line="357" w:lineRule="exact"/>
        <w:rPr>
          <w:sz w:val="24"/>
          <w:szCs w:val="24"/>
        </w:rPr>
      </w:pPr>
    </w:p>
    <w:p w:rsidR="00E70C12" w:rsidRDefault="005B59C5">
      <w:pPr>
        <w:spacing w:line="352" w:lineRule="exact"/>
        <w:ind w:left="360" w:right="506" w:firstLine="240"/>
        <w:jc w:val="both"/>
        <w:rPr>
          <w:sz w:val="20"/>
          <w:szCs w:val="20"/>
        </w:rPr>
      </w:pPr>
      <w:r>
        <w:rPr>
          <w:rFonts w:ascii="宋体" w:eastAsia="宋体" w:hAnsi="宋体" w:cs="宋体"/>
          <w:sz w:val="24"/>
          <w:szCs w:val="24"/>
        </w:rPr>
        <w:t>本课程以区块链与数字金融基本原理为基础，以实用为导向，基于对区块链与数字金融市场的深入研究，汇聚国内外最顶尖的经济学家、金融学家、区块链专家、管理学家，针对金融家、商业人士、企业家和公共管理者，系统设计了体系完善的培训课程。通过学习，帮助学员全面系统快速搭建起区块链与数字金融的知识框架</w:t>
      </w:r>
    </w:p>
    <w:p w:rsidR="00E70C12" w:rsidRDefault="00E70C12">
      <w:pPr>
        <w:spacing w:line="271" w:lineRule="exact"/>
        <w:rPr>
          <w:sz w:val="24"/>
          <w:szCs w:val="24"/>
        </w:rPr>
      </w:pPr>
    </w:p>
    <w:p w:rsidR="00E70C12" w:rsidRDefault="005B59C5">
      <w:pPr>
        <w:spacing w:line="274" w:lineRule="exact"/>
        <w:ind w:left="360"/>
        <w:rPr>
          <w:sz w:val="20"/>
          <w:szCs w:val="20"/>
        </w:rPr>
      </w:pPr>
      <w:r>
        <w:rPr>
          <w:rFonts w:ascii="宋体" w:eastAsia="宋体" w:hAnsi="宋体" w:cs="宋体"/>
          <w:color w:val="C00000"/>
          <w:sz w:val="24"/>
          <w:szCs w:val="24"/>
        </w:rPr>
        <w:t>【课程价值】</w:t>
      </w:r>
    </w:p>
    <w:p w:rsidR="00E70C12" w:rsidRDefault="00E70C12">
      <w:pPr>
        <w:spacing w:line="357" w:lineRule="exact"/>
        <w:rPr>
          <w:sz w:val="24"/>
          <w:szCs w:val="24"/>
        </w:rPr>
      </w:pPr>
    </w:p>
    <w:p w:rsidR="00E70C12" w:rsidRDefault="005B59C5">
      <w:pPr>
        <w:spacing w:line="308" w:lineRule="exact"/>
        <w:ind w:left="360" w:right="746"/>
        <w:rPr>
          <w:sz w:val="20"/>
          <w:szCs w:val="20"/>
        </w:rPr>
      </w:pPr>
      <w:r>
        <w:rPr>
          <w:rFonts w:ascii="宋体" w:eastAsia="宋体" w:hAnsi="宋体" w:cs="宋体"/>
          <w:sz w:val="24"/>
          <w:szCs w:val="24"/>
        </w:rPr>
        <w:t>1.</w:t>
      </w:r>
      <w:r>
        <w:rPr>
          <w:rFonts w:ascii="宋体" w:eastAsia="宋体" w:hAnsi="宋体" w:cs="宋体"/>
          <w:sz w:val="24"/>
          <w:szCs w:val="24"/>
        </w:rPr>
        <w:t>在这里，你会告别碎片化学习，你将系统的了解区块链技术原理与数字金融，从区块链零基础的小白，晋级</w:t>
      </w:r>
      <w:r>
        <w:rPr>
          <w:rFonts w:ascii="宋体" w:eastAsia="宋体" w:hAnsi="宋体" w:cs="宋体"/>
          <w:sz w:val="24"/>
          <w:szCs w:val="24"/>
        </w:rPr>
        <w:t>“</w:t>
      </w:r>
      <w:r>
        <w:rPr>
          <w:rFonts w:ascii="宋体" w:eastAsia="宋体" w:hAnsi="宋体" w:cs="宋体"/>
          <w:sz w:val="24"/>
          <w:szCs w:val="24"/>
        </w:rPr>
        <w:t>链圈</w:t>
      </w:r>
      <w:r>
        <w:rPr>
          <w:rFonts w:ascii="宋体" w:eastAsia="宋体" w:hAnsi="宋体" w:cs="宋体"/>
          <w:sz w:val="24"/>
          <w:szCs w:val="24"/>
        </w:rPr>
        <w:t>”</w:t>
      </w:r>
      <w:r>
        <w:rPr>
          <w:rFonts w:ascii="宋体" w:eastAsia="宋体" w:hAnsi="宋体" w:cs="宋体"/>
          <w:sz w:val="24"/>
          <w:szCs w:val="24"/>
        </w:rPr>
        <w:t>玩家。</w:t>
      </w:r>
    </w:p>
    <w:p w:rsidR="00E70C12" w:rsidRDefault="00E70C12">
      <w:pPr>
        <w:spacing w:line="308" w:lineRule="exact"/>
        <w:rPr>
          <w:sz w:val="24"/>
          <w:szCs w:val="24"/>
        </w:rPr>
      </w:pPr>
    </w:p>
    <w:p w:rsidR="00E70C12" w:rsidRDefault="005B59C5">
      <w:pPr>
        <w:spacing w:line="274" w:lineRule="exact"/>
        <w:ind w:left="360"/>
        <w:rPr>
          <w:sz w:val="20"/>
          <w:szCs w:val="20"/>
        </w:rPr>
      </w:pPr>
      <w:r>
        <w:rPr>
          <w:rFonts w:ascii="宋体" w:eastAsia="宋体" w:hAnsi="宋体" w:cs="宋体"/>
          <w:sz w:val="24"/>
          <w:szCs w:val="24"/>
        </w:rPr>
        <w:t>2.</w:t>
      </w:r>
      <w:r>
        <w:rPr>
          <w:rFonts w:ascii="宋体" w:eastAsia="宋体" w:hAnsi="宋体" w:cs="宋体"/>
          <w:sz w:val="24"/>
          <w:szCs w:val="24"/>
        </w:rPr>
        <w:t>在这里，你将与中国和美国金融领域知名专家教授和区块链顶级大咖近距离</w:t>
      </w:r>
    </w:p>
    <w:p w:rsidR="00E70C12" w:rsidRDefault="00E70C12">
      <w:pPr>
        <w:sectPr w:rsidR="00E70C12">
          <w:pgSz w:w="11900" w:h="16838"/>
          <w:pgMar w:top="1440" w:right="1440" w:bottom="1041" w:left="1440" w:header="0" w:footer="0" w:gutter="0"/>
          <w:cols w:space="720" w:equalWidth="0">
            <w:col w:w="9026"/>
          </w:cols>
        </w:sectPr>
      </w:pPr>
    </w:p>
    <w:p w:rsidR="00E70C12" w:rsidRDefault="00E70C12">
      <w:pPr>
        <w:spacing w:line="62" w:lineRule="exact"/>
        <w:rPr>
          <w:sz w:val="20"/>
          <w:szCs w:val="20"/>
        </w:rPr>
      </w:pPr>
      <w:bookmarkStart w:id="1" w:name="page2"/>
      <w:bookmarkEnd w:id="1"/>
    </w:p>
    <w:p w:rsidR="00E70C12" w:rsidRDefault="005B59C5">
      <w:pPr>
        <w:spacing w:line="274" w:lineRule="exact"/>
        <w:ind w:left="680"/>
        <w:rPr>
          <w:sz w:val="20"/>
          <w:szCs w:val="20"/>
        </w:rPr>
      </w:pPr>
      <w:r>
        <w:rPr>
          <w:rFonts w:ascii="宋体" w:eastAsia="宋体" w:hAnsi="宋体" w:cs="宋体"/>
          <w:sz w:val="24"/>
          <w:szCs w:val="24"/>
        </w:rPr>
        <w:t>交流切磋，了解</w:t>
      </w:r>
      <w:r>
        <w:rPr>
          <w:rFonts w:ascii="宋体" w:eastAsia="宋体" w:hAnsi="宋体" w:cs="宋体"/>
          <w:sz w:val="24"/>
          <w:szCs w:val="24"/>
        </w:rPr>
        <w:t>“</w:t>
      </w:r>
      <w:r>
        <w:rPr>
          <w:rFonts w:ascii="宋体" w:eastAsia="宋体" w:hAnsi="宋体" w:cs="宋体"/>
          <w:sz w:val="24"/>
          <w:szCs w:val="24"/>
        </w:rPr>
        <w:t>链圈</w:t>
      </w:r>
      <w:r>
        <w:rPr>
          <w:rFonts w:ascii="宋体" w:eastAsia="宋体" w:hAnsi="宋体" w:cs="宋体"/>
          <w:sz w:val="24"/>
          <w:szCs w:val="24"/>
        </w:rPr>
        <w:t>”</w:t>
      </w:r>
      <w:r>
        <w:rPr>
          <w:rFonts w:ascii="宋体" w:eastAsia="宋体" w:hAnsi="宋体" w:cs="宋体"/>
          <w:sz w:val="24"/>
          <w:szCs w:val="24"/>
        </w:rPr>
        <w:t>玩法，进入</w:t>
      </w:r>
      <w:r>
        <w:rPr>
          <w:rFonts w:ascii="宋体" w:eastAsia="宋体" w:hAnsi="宋体" w:cs="宋体"/>
          <w:sz w:val="24"/>
          <w:szCs w:val="24"/>
        </w:rPr>
        <w:t>“</w:t>
      </w:r>
      <w:r>
        <w:rPr>
          <w:rFonts w:ascii="宋体" w:eastAsia="宋体" w:hAnsi="宋体" w:cs="宋体"/>
          <w:sz w:val="24"/>
          <w:szCs w:val="24"/>
        </w:rPr>
        <w:t>链圈</w:t>
      </w:r>
      <w:r>
        <w:rPr>
          <w:rFonts w:ascii="宋体" w:eastAsia="宋体" w:hAnsi="宋体" w:cs="宋体"/>
          <w:sz w:val="24"/>
          <w:szCs w:val="24"/>
        </w:rPr>
        <w:t>”</w:t>
      </w:r>
      <w:r>
        <w:rPr>
          <w:rFonts w:ascii="宋体" w:eastAsia="宋体" w:hAnsi="宋体" w:cs="宋体"/>
          <w:sz w:val="24"/>
          <w:szCs w:val="24"/>
        </w:rPr>
        <w:t>高级玩家群。</w:t>
      </w:r>
    </w:p>
    <w:p w:rsidR="00E70C12" w:rsidRDefault="00E70C12">
      <w:pPr>
        <w:spacing w:line="342" w:lineRule="exact"/>
        <w:rPr>
          <w:sz w:val="20"/>
          <w:szCs w:val="20"/>
        </w:rPr>
      </w:pPr>
    </w:p>
    <w:p w:rsidR="00E70C12" w:rsidRDefault="005B59C5">
      <w:pPr>
        <w:spacing w:line="308" w:lineRule="exact"/>
        <w:ind w:left="680" w:right="1040"/>
        <w:rPr>
          <w:sz w:val="20"/>
          <w:szCs w:val="20"/>
        </w:rPr>
      </w:pPr>
      <w:r>
        <w:rPr>
          <w:rFonts w:ascii="宋体" w:eastAsia="宋体" w:hAnsi="宋体" w:cs="宋体"/>
          <w:sz w:val="24"/>
          <w:szCs w:val="24"/>
        </w:rPr>
        <w:t>3.</w:t>
      </w:r>
      <w:r>
        <w:rPr>
          <w:rFonts w:ascii="宋体" w:eastAsia="宋体" w:hAnsi="宋体" w:cs="宋体"/>
          <w:sz w:val="24"/>
          <w:szCs w:val="24"/>
        </w:rPr>
        <w:t>在这里，你将获得优质的人脉，帮助你在区块链领域大展拳脚，寻找自己的区块链落地项目。</w:t>
      </w:r>
    </w:p>
    <w:p w:rsidR="00E70C12" w:rsidRDefault="00E70C12">
      <w:pPr>
        <w:spacing w:line="344" w:lineRule="exact"/>
        <w:rPr>
          <w:sz w:val="20"/>
          <w:szCs w:val="20"/>
        </w:rPr>
      </w:pPr>
    </w:p>
    <w:p w:rsidR="00E70C12" w:rsidRDefault="005B59C5">
      <w:pPr>
        <w:spacing w:line="308" w:lineRule="exact"/>
        <w:ind w:left="680" w:right="1040"/>
        <w:rPr>
          <w:sz w:val="20"/>
          <w:szCs w:val="20"/>
        </w:rPr>
      </w:pPr>
      <w:r>
        <w:rPr>
          <w:rFonts w:ascii="宋体" w:eastAsia="宋体" w:hAnsi="宋体" w:cs="宋体"/>
          <w:sz w:val="24"/>
          <w:szCs w:val="24"/>
        </w:rPr>
        <w:t>4.</w:t>
      </w:r>
      <w:r>
        <w:rPr>
          <w:rFonts w:ascii="宋体" w:eastAsia="宋体" w:hAnsi="宋体" w:cs="宋体"/>
          <w:sz w:val="24"/>
          <w:szCs w:val="24"/>
        </w:rPr>
        <w:t>在这里，你将了解什么是有价值的区块链项目，熟悉应用场景，在不确定的未来，快人一步，认知升级，洞悉未来财富先机。</w:t>
      </w:r>
    </w:p>
    <w:p w:rsidR="00E70C12" w:rsidRDefault="00E70C12">
      <w:pPr>
        <w:spacing w:line="288" w:lineRule="exact"/>
        <w:rPr>
          <w:sz w:val="20"/>
          <w:szCs w:val="20"/>
        </w:rPr>
      </w:pPr>
    </w:p>
    <w:p w:rsidR="00E70C12" w:rsidRPr="006D64DB" w:rsidRDefault="005B59C5">
      <w:pPr>
        <w:spacing w:line="274" w:lineRule="exact"/>
        <w:ind w:left="680"/>
        <w:rPr>
          <w:b/>
          <w:sz w:val="20"/>
          <w:szCs w:val="20"/>
        </w:rPr>
      </w:pPr>
      <w:r w:rsidRPr="006D64DB">
        <w:rPr>
          <w:rFonts w:ascii="宋体" w:eastAsia="宋体" w:hAnsi="宋体" w:cs="宋体"/>
          <w:b/>
          <w:color w:val="C00000"/>
          <w:sz w:val="24"/>
          <w:szCs w:val="24"/>
        </w:rPr>
        <w:t>【课程设计】</w:t>
      </w:r>
    </w:p>
    <w:p w:rsidR="00E70C12" w:rsidRDefault="005B59C5">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5080</wp:posOffset>
            </wp:positionH>
            <wp:positionV relativeFrom="paragraph">
              <wp:posOffset>354965</wp:posOffset>
            </wp:positionV>
            <wp:extent cx="6263640" cy="630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263640" cy="6305550"/>
                    </a:xfrm>
                    <a:prstGeom prst="rect">
                      <a:avLst/>
                    </a:prstGeom>
                    <a:noFill/>
                  </pic:spPr>
                </pic:pic>
              </a:graphicData>
            </a:graphic>
          </wp:anchor>
        </w:drawing>
      </w:r>
    </w:p>
    <w:p w:rsidR="00E70C12" w:rsidRDefault="00E70C12">
      <w:pPr>
        <w:spacing w:line="200" w:lineRule="exact"/>
        <w:rPr>
          <w:sz w:val="20"/>
          <w:szCs w:val="20"/>
        </w:rPr>
      </w:pPr>
    </w:p>
    <w:p w:rsidR="00E70C12" w:rsidRDefault="00E70C12">
      <w:pPr>
        <w:spacing w:line="388" w:lineRule="exact"/>
        <w:rPr>
          <w:sz w:val="20"/>
          <w:szCs w:val="20"/>
        </w:rPr>
      </w:pPr>
    </w:p>
    <w:p w:rsidR="00E70C12" w:rsidRDefault="005B59C5">
      <w:pPr>
        <w:spacing w:line="320" w:lineRule="exact"/>
        <w:jc w:val="center"/>
        <w:rPr>
          <w:sz w:val="20"/>
          <w:szCs w:val="20"/>
        </w:rPr>
      </w:pPr>
      <w:r>
        <w:rPr>
          <w:rFonts w:ascii="宋体" w:eastAsia="宋体" w:hAnsi="宋体" w:cs="宋体"/>
          <w:b/>
          <w:bCs/>
          <w:color w:val="FFFFFF"/>
          <w:sz w:val="28"/>
          <w:szCs w:val="28"/>
        </w:rPr>
        <w:t>第一模块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走进数字金融</w:t>
      </w:r>
    </w:p>
    <w:p w:rsidR="00E70C12" w:rsidRDefault="00E70C12">
      <w:pPr>
        <w:spacing w:line="2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360"/>
        <w:gridCol w:w="1320"/>
        <w:gridCol w:w="5160"/>
        <w:gridCol w:w="20"/>
        <w:gridCol w:w="20"/>
      </w:tblGrid>
      <w:tr w:rsidR="00E70C12">
        <w:trPr>
          <w:trHeight w:val="310"/>
        </w:trPr>
        <w:tc>
          <w:tcPr>
            <w:tcW w:w="20" w:type="dxa"/>
            <w:tcBorders>
              <w:top w:val="single" w:sz="8" w:space="0" w:color="auto"/>
            </w:tcBorders>
            <w:vAlign w:val="bottom"/>
          </w:tcPr>
          <w:p w:rsidR="00E70C12" w:rsidRDefault="00E70C12">
            <w:pPr>
              <w:rPr>
                <w:sz w:val="24"/>
                <w:szCs w:val="24"/>
              </w:rPr>
            </w:pPr>
          </w:p>
        </w:tc>
        <w:tc>
          <w:tcPr>
            <w:tcW w:w="3360" w:type="dxa"/>
            <w:tcBorders>
              <w:top w:val="single" w:sz="8" w:space="0" w:color="auto"/>
            </w:tcBorders>
            <w:vAlign w:val="bottom"/>
          </w:tcPr>
          <w:p w:rsidR="00E70C12" w:rsidRDefault="005B59C5">
            <w:pPr>
              <w:spacing w:line="240" w:lineRule="exact"/>
              <w:ind w:left="100"/>
              <w:rPr>
                <w:sz w:val="20"/>
                <w:szCs w:val="20"/>
              </w:rPr>
            </w:pPr>
            <w:r>
              <w:rPr>
                <w:rFonts w:ascii="宋体" w:eastAsia="宋体" w:hAnsi="宋体" w:cs="宋体"/>
                <w:b/>
                <w:bCs/>
                <w:sz w:val="21"/>
                <w:szCs w:val="21"/>
              </w:rPr>
              <w:t>区块链、数字金融、智慧金融概况</w:t>
            </w:r>
          </w:p>
        </w:tc>
        <w:tc>
          <w:tcPr>
            <w:tcW w:w="1320" w:type="dxa"/>
            <w:tcBorders>
              <w:top w:val="single" w:sz="8" w:space="0" w:color="auto"/>
              <w:right w:val="single" w:sz="8" w:space="0" w:color="auto"/>
            </w:tcBorders>
            <w:vAlign w:val="bottom"/>
          </w:tcPr>
          <w:p w:rsidR="00E70C12" w:rsidRDefault="00E70C12">
            <w:pPr>
              <w:rPr>
                <w:sz w:val="24"/>
                <w:szCs w:val="24"/>
              </w:rPr>
            </w:pPr>
          </w:p>
        </w:tc>
        <w:tc>
          <w:tcPr>
            <w:tcW w:w="5160" w:type="dxa"/>
            <w:tcBorders>
              <w:top w:val="single" w:sz="8" w:space="0" w:color="auto"/>
            </w:tcBorders>
            <w:vAlign w:val="bottom"/>
          </w:tcPr>
          <w:p w:rsidR="00E70C12" w:rsidRDefault="005B59C5">
            <w:pPr>
              <w:spacing w:line="240" w:lineRule="exact"/>
              <w:ind w:left="80"/>
              <w:rPr>
                <w:sz w:val="20"/>
                <w:szCs w:val="20"/>
              </w:rPr>
            </w:pPr>
            <w:r>
              <w:rPr>
                <w:rFonts w:ascii="宋体" w:eastAsia="宋体" w:hAnsi="宋体" w:cs="宋体"/>
                <w:b/>
                <w:bCs/>
                <w:sz w:val="21"/>
                <w:szCs w:val="21"/>
              </w:rPr>
              <w:t>数字金融发展趋势</w:t>
            </w:r>
          </w:p>
        </w:tc>
        <w:tc>
          <w:tcPr>
            <w:tcW w:w="20" w:type="dxa"/>
            <w:tcBorders>
              <w:top w:val="single" w:sz="8" w:space="0" w:color="auto"/>
            </w:tcBorders>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540"/>
        </w:trPr>
        <w:tc>
          <w:tcPr>
            <w:tcW w:w="20" w:type="dxa"/>
            <w:vAlign w:val="bottom"/>
          </w:tcPr>
          <w:p w:rsidR="00E70C12" w:rsidRDefault="00E70C12">
            <w:pPr>
              <w:rPr>
                <w:sz w:val="24"/>
                <w:szCs w:val="24"/>
              </w:rPr>
            </w:pPr>
          </w:p>
        </w:tc>
        <w:tc>
          <w:tcPr>
            <w:tcW w:w="336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区块链与数字金融的本质</w:t>
            </w:r>
          </w:p>
        </w:tc>
        <w:tc>
          <w:tcPr>
            <w:tcW w:w="1320" w:type="dxa"/>
            <w:tcBorders>
              <w:right w:val="single" w:sz="8" w:space="0" w:color="auto"/>
            </w:tcBorders>
            <w:vAlign w:val="bottom"/>
          </w:tcPr>
          <w:p w:rsidR="00E70C12" w:rsidRDefault="00E70C12">
            <w:pPr>
              <w:rPr>
                <w:sz w:val="24"/>
                <w:szCs w:val="24"/>
              </w:rPr>
            </w:pP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数字金融发展趋势及必要性</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540"/>
        </w:trPr>
        <w:tc>
          <w:tcPr>
            <w:tcW w:w="20" w:type="dxa"/>
            <w:vAlign w:val="bottom"/>
          </w:tcPr>
          <w:p w:rsidR="00E70C12" w:rsidRDefault="00E70C12">
            <w:pPr>
              <w:rPr>
                <w:sz w:val="24"/>
                <w:szCs w:val="24"/>
              </w:rPr>
            </w:pPr>
          </w:p>
        </w:tc>
        <w:tc>
          <w:tcPr>
            <w:tcW w:w="336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区块链与数字金融的经典模式</w:t>
            </w:r>
          </w:p>
        </w:tc>
        <w:tc>
          <w:tcPr>
            <w:tcW w:w="1320" w:type="dxa"/>
            <w:tcBorders>
              <w:right w:val="single" w:sz="8" w:space="0" w:color="auto"/>
            </w:tcBorders>
            <w:vAlign w:val="bottom"/>
          </w:tcPr>
          <w:p w:rsidR="00E70C12" w:rsidRDefault="00E70C12">
            <w:pPr>
              <w:rPr>
                <w:sz w:val="24"/>
                <w:szCs w:val="24"/>
              </w:rPr>
            </w:pP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互联网</w:t>
            </w:r>
            <w:r>
              <w:rPr>
                <w:rFonts w:ascii="宋体" w:eastAsia="宋体" w:hAnsi="宋体" w:cs="宋体"/>
                <w:sz w:val="21"/>
                <w:szCs w:val="21"/>
              </w:rPr>
              <w:t>+”</w:t>
            </w:r>
            <w:r>
              <w:rPr>
                <w:rFonts w:ascii="宋体" w:eastAsia="宋体" w:hAnsi="宋体" w:cs="宋体"/>
                <w:sz w:val="21"/>
                <w:szCs w:val="21"/>
              </w:rPr>
              <w:t>计划（互联网</w:t>
            </w:r>
            <w:r>
              <w:rPr>
                <w:rFonts w:ascii="宋体" w:eastAsia="宋体" w:hAnsi="宋体" w:cs="宋体"/>
                <w:sz w:val="21"/>
                <w:szCs w:val="21"/>
              </w:rPr>
              <w:t>+</w:t>
            </w:r>
            <w:r>
              <w:rPr>
                <w:rFonts w:ascii="宋体" w:eastAsia="宋体" w:hAnsi="宋体" w:cs="宋体"/>
                <w:sz w:val="21"/>
                <w:szCs w:val="21"/>
              </w:rPr>
              <w:t>态势下未来金融发展趋</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340"/>
        </w:trPr>
        <w:tc>
          <w:tcPr>
            <w:tcW w:w="20" w:type="dxa"/>
            <w:vAlign w:val="bottom"/>
          </w:tcPr>
          <w:p w:rsidR="00E70C12" w:rsidRDefault="00E70C12">
            <w:pPr>
              <w:rPr>
                <w:sz w:val="24"/>
                <w:szCs w:val="24"/>
              </w:rPr>
            </w:pPr>
          </w:p>
        </w:tc>
        <w:tc>
          <w:tcPr>
            <w:tcW w:w="4680" w:type="dxa"/>
            <w:gridSpan w:val="2"/>
            <w:vMerge w:val="restart"/>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区块链、数字金融、智慧金融及其产业演变发</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势）及</w:t>
            </w:r>
            <w:r>
              <w:rPr>
                <w:rFonts w:ascii="宋体" w:eastAsia="宋体" w:hAnsi="宋体" w:cs="宋体"/>
                <w:sz w:val="21"/>
                <w:szCs w:val="21"/>
              </w:rPr>
              <w:t>“</w:t>
            </w:r>
            <w:r>
              <w:rPr>
                <w:rFonts w:ascii="宋体" w:eastAsia="宋体" w:hAnsi="宋体" w:cs="宋体"/>
                <w:sz w:val="21"/>
                <w:szCs w:val="21"/>
              </w:rPr>
              <w:t>数字</w:t>
            </w:r>
            <w:r>
              <w:rPr>
                <w:rFonts w:ascii="宋体" w:eastAsia="宋体" w:hAnsi="宋体" w:cs="宋体"/>
                <w:sz w:val="21"/>
                <w:szCs w:val="21"/>
              </w:rPr>
              <w:t>+”</w:t>
            </w:r>
            <w:r>
              <w:rPr>
                <w:rFonts w:ascii="宋体" w:eastAsia="宋体" w:hAnsi="宋体" w:cs="宋体"/>
                <w:sz w:val="21"/>
                <w:szCs w:val="21"/>
              </w:rPr>
              <w:t>及</w:t>
            </w:r>
            <w:r>
              <w:rPr>
                <w:rFonts w:ascii="宋体" w:eastAsia="宋体" w:hAnsi="宋体" w:cs="宋体"/>
                <w:sz w:val="21"/>
                <w:szCs w:val="21"/>
              </w:rPr>
              <w:t>“</w:t>
            </w:r>
            <w:r>
              <w:rPr>
                <w:rFonts w:ascii="宋体" w:eastAsia="宋体" w:hAnsi="宋体" w:cs="宋体"/>
                <w:sz w:val="21"/>
                <w:szCs w:val="21"/>
              </w:rPr>
              <w:t>智慧</w:t>
            </w:r>
            <w:r>
              <w:rPr>
                <w:rFonts w:ascii="宋体" w:eastAsia="宋体" w:hAnsi="宋体" w:cs="宋体"/>
                <w:sz w:val="21"/>
                <w:szCs w:val="21"/>
              </w:rPr>
              <w:t>+”</w:t>
            </w:r>
            <w:r>
              <w:rPr>
                <w:rFonts w:ascii="宋体" w:eastAsia="宋体" w:hAnsi="宋体" w:cs="宋体"/>
                <w:sz w:val="21"/>
                <w:szCs w:val="21"/>
              </w:rPr>
              <w:t>语境</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00"/>
        </w:trPr>
        <w:tc>
          <w:tcPr>
            <w:tcW w:w="20" w:type="dxa"/>
            <w:vAlign w:val="bottom"/>
          </w:tcPr>
          <w:p w:rsidR="00E70C12" w:rsidRDefault="00E70C12">
            <w:pPr>
              <w:rPr>
                <w:sz w:val="17"/>
                <w:szCs w:val="17"/>
              </w:rPr>
            </w:pPr>
          </w:p>
        </w:tc>
        <w:tc>
          <w:tcPr>
            <w:tcW w:w="4680" w:type="dxa"/>
            <w:gridSpan w:val="2"/>
            <w:vMerge/>
            <w:tcBorders>
              <w:right w:val="single" w:sz="8" w:space="0" w:color="auto"/>
            </w:tcBorders>
            <w:vAlign w:val="bottom"/>
          </w:tcPr>
          <w:p w:rsidR="00E70C12" w:rsidRDefault="00E70C12">
            <w:pPr>
              <w:rPr>
                <w:sz w:val="17"/>
                <w:szCs w:val="17"/>
              </w:rPr>
            </w:pPr>
          </w:p>
        </w:tc>
        <w:tc>
          <w:tcPr>
            <w:tcW w:w="5160" w:type="dxa"/>
            <w:vAlign w:val="bottom"/>
          </w:tcPr>
          <w:p w:rsidR="00E70C12" w:rsidRDefault="00E70C12">
            <w:pPr>
              <w:rPr>
                <w:sz w:val="17"/>
                <w:szCs w:val="17"/>
              </w:rPr>
            </w:pPr>
          </w:p>
        </w:tc>
        <w:tc>
          <w:tcPr>
            <w:tcW w:w="20" w:type="dxa"/>
            <w:vAlign w:val="bottom"/>
          </w:tcPr>
          <w:p w:rsidR="00E70C12" w:rsidRDefault="00E70C12">
            <w:pPr>
              <w:rPr>
                <w:sz w:val="17"/>
                <w:szCs w:val="17"/>
              </w:rPr>
            </w:pPr>
          </w:p>
        </w:tc>
        <w:tc>
          <w:tcPr>
            <w:tcW w:w="0" w:type="dxa"/>
            <w:vAlign w:val="bottom"/>
          </w:tcPr>
          <w:p w:rsidR="00E70C12" w:rsidRDefault="00E70C12">
            <w:pPr>
              <w:rPr>
                <w:sz w:val="1"/>
                <w:szCs w:val="1"/>
              </w:rPr>
            </w:pPr>
          </w:p>
        </w:tc>
      </w:tr>
      <w:tr w:rsidR="00E70C12">
        <w:trPr>
          <w:trHeight w:val="340"/>
        </w:trPr>
        <w:tc>
          <w:tcPr>
            <w:tcW w:w="20" w:type="dxa"/>
            <w:vAlign w:val="bottom"/>
          </w:tcPr>
          <w:p w:rsidR="00E70C12" w:rsidRDefault="00E70C12">
            <w:pPr>
              <w:rPr>
                <w:sz w:val="24"/>
                <w:szCs w:val="24"/>
              </w:rPr>
            </w:pPr>
          </w:p>
        </w:tc>
        <w:tc>
          <w:tcPr>
            <w:tcW w:w="3360" w:type="dxa"/>
            <w:vAlign w:val="bottom"/>
          </w:tcPr>
          <w:p w:rsidR="00E70C12" w:rsidRDefault="005B59C5">
            <w:pPr>
              <w:spacing w:line="240" w:lineRule="exact"/>
              <w:ind w:left="100"/>
              <w:rPr>
                <w:sz w:val="20"/>
                <w:szCs w:val="20"/>
              </w:rPr>
            </w:pPr>
            <w:r>
              <w:rPr>
                <w:rFonts w:ascii="宋体" w:eastAsia="宋体" w:hAnsi="宋体" w:cs="宋体"/>
                <w:sz w:val="21"/>
                <w:szCs w:val="21"/>
              </w:rPr>
              <w:t>展</w:t>
            </w:r>
          </w:p>
        </w:tc>
        <w:tc>
          <w:tcPr>
            <w:tcW w:w="1320" w:type="dxa"/>
            <w:tcBorders>
              <w:right w:val="single" w:sz="8" w:space="0" w:color="auto"/>
            </w:tcBorders>
            <w:vAlign w:val="bottom"/>
          </w:tcPr>
          <w:p w:rsidR="00E70C12" w:rsidRDefault="00E70C12">
            <w:pPr>
              <w:rPr>
                <w:sz w:val="24"/>
                <w:szCs w:val="24"/>
              </w:rPr>
            </w:pP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区块链基础技术及衍生技术知识（密码学、加密方</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340"/>
        </w:trPr>
        <w:tc>
          <w:tcPr>
            <w:tcW w:w="20" w:type="dxa"/>
            <w:vAlign w:val="bottom"/>
          </w:tcPr>
          <w:p w:rsidR="00E70C12" w:rsidRDefault="00E70C12">
            <w:pPr>
              <w:rPr>
                <w:sz w:val="24"/>
                <w:szCs w:val="24"/>
              </w:rPr>
            </w:pPr>
          </w:p>
        </w:tc>
        <w:tc>
          <w:tcPr>
            <w:tcW w:w="3360" w:type="dxa"/>
            <w:vMerge w:val="restart"/>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区块链、数字金融的分析与应用</w:t>
            </w:r>
          </w:p>
        </w:tc>
        <w:tc>
          <w:tcPr>
            <w:tcW w:w="1320" w:type="dxa"/>
            <w:tcBorders>
              <w:right w:val="single" w:sz="8" w:space="0" w:color="auto"/>
            </w:tcBorders>
            <w:vAlign w:val="bottom"/>
          </w:tcPr>
          <w:p w:rsidR="00E70C12" w:rsidRDefault="00E70C12">
            <w:pPr>
              <w:rPr>
                <w:sz w:val="24"/>
                <w:szCs w:val="24"/>
              </w:rPr>
            </w:pP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式、技术和运营系统）</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00"/>
        </w:trPr>
        <w:tc>
          <w:tcPr>
            <w:tcW w:w="20" w:type="dxa"/>
            <w:vAlign w:val="bottom"/>
          </w:tcPr>
          <w:p w:rsidR="00E70C12" w:rsidRDefault="00E70C12">
            <w:pPr>
              <w:rPr>
                <w:sz w:val="17"/>
                <w:szCs w:val="17"/>
              </w:rPr>
            </w:pPr>
          </w:p>
        </w:tc>
        <w:tc>
          <w:tcPr>
            <w:tcW w:w="3360" w:type="dxa"/>
            <w:vMerge/>
            <w:vAlign w:val="bottom"/>
          </w:tcPr>
          <w:p w:rsidR="00E70C12" w:rsidRDefault="00E70C12">
            <w:pPr>
              <w:rPr>
                <w:sz w:val="17"/>
                <w:szCs w:val="17"/>
              </w:rPr>
            </w:pPr>
          </w:p>
        </w:tc>
        <w:tc>
          <w:tcPr>
            <w:tcW w:w="1320" w:type="dxa"/>
            <w:tcBorders>
              <w:right w:val="single" w:sz="8" w:space="0" w:color="auto"/>
            </w:tcBorders>
            <w:vAlign w:val="bottom"/>
          </w:tcPr>
          <w:p w:rsidR="00E70C12" w:rsidRDefault="00E70C12">
            <w:pPr>
              <w:rPr>
                <w:sz w:val="17"/>
                <w:szCs w:val="17"/>
              </w:rPr>
            </w:pPr>
          </w:p>
        </w:tc>
        <w:tc>
          <w:tcPr>
            <w:tcW w:w="5160" w:type="dxa"/>
            <w:vAlign w:val="bottom"/>
          </w:tcPr>
          <w:p w:rsidR="00E70C12" w:rsidRDefault="00E70C12">
            <w:pPr>
              <w:rPr>
                <w:sz w:val="17"/>
                <w:szCs w:val="17"/>
              </w:rPr>
            </w:pPr>
          </w:p>
        </w:tc>
        <w:tc>
          <w:tcPr>
            <w:tcW w:w="20" w:type="dxa"/>
            <w:vAlign w:val="bottom"/>
          </w:tcPr>
          <w:p w:rsidR="00E70C12" w:rsidRDefault="00E70C12">
            <w:pPr>
              <w:rPr>
                <w:sz w:val="17"/>
                <w:szCs w:val="17"/>
              </w:rPr>
            </w:pPr>
          </w:p>
        </w:tc>
        <w:tc>
          <w:tcPr>
            <w:tcW w:w="0" w:type="dxa"/>
            <w:vAlign w:val="bottom"/>
          </w:tcPr>
          <w:p w:rsidR="00E70C12" w:rsidRDefault="00E70C12">
            <w:pPr>
              <w:rPr>
                <w:sz w:val="1"/>
                <w:szCs w:val="1"/>
              </w:rPr>
            </w:pPr>
          </w:p>
        </w:tc>
      </w:tr>
      <w:tr w:rsidR="00E70C12">
        <w:trPr>
          <w:trHeight w:val="240"/>
        </w:trPr>
        <w:tc>
          <w:tcPr>
            <w:tcW w:w="20" w:type="dxa"/>
            <w:tcBorders>
              <w:bottom w:val="single" w:sz="8" w:space="0" w:color="auto"/>
            </w:tcBorders>
            <w:vAlign w:val="bottom"/>
          </w:tcPr>
          <w:p w:rsidR="00E70C12" w:rsidRDefault="00E70C12">
            <w:pPr>
              <w:rPr>
                <w:sz w:val="20"/>
                <w:szCs w:val="20"/>
              </w:rPr>
            </w:pPr>
          </w:p>
        </w:tc>
        <w:tc>
          <w:tcPr>
            <w:tcW w:w="3360" w:type="dxa"/>
            <w:tcBorders>
              <w:bottom w:val="single" w:sz="8" w:space="0" w:color="auto"/>
            </w:tcBorders>
            <w:vAlign w:val="bottom"/>
          </w:tcPr>
          <w:p w:rsidR="00E70C12" w:rsidRDefault="00E70C12">
            <w:pPr>
              <w:rPr>
                <w:sz w:val="20"/>
                <w:szCs w:val="20"/>
              </w:rPr>
            </w:pPr>
          </w:p>
        </w:tc>
        <w:tc>
          <w:tcPr>
            <w:tcW w:w="1320" w:type="dxa"/>
            <w:tcBorders>
              <w:bottom w:val="single" w:sz="8" w:space="0" w:color="auto"/>
              <w:right w:val="single" w:sz="8" w:space="0" w:color="auto"/>
            </w:tcBorders>
            <w:vAlign w:val="bottom"/>
          </w:tcPr>
          <w:p w:rsidR="00E70C12" w:rsidRDefault="00E70C12">
            <w:pPr>
              <w:rPr>
                <w:sz w:val="20"/>
                <w:szCs w:val="20"/>
              </w:rPr>
            </w:pPr>
          </w:p>
        </w:tc>
        <w:tc>
          <w:tcPr>
            <w:tcW w:w="5160" w:type="dxa"/>
            <w:tcBorders>
              <w:bottom w:val="single" w:sz="8" w:space="0" w:color="auto"/>
            </w:tcBorders>
            <w:vAlign w:val="bottom"/>
          </w:tcPr>
          <w:p w:rsidR="00E70C12" w:rsidRDefault="00E70C12">
            <w:pPr>
              <w:rPr>
                <w:sz w:val="20"/>
                <w:szCs w:val="20"/>
              </w:rPr>
            </w:pPr>
          </w:p>
        </w:tc>
        <w:tc>
          <w:tcPr>
            <w:tcW w:w="20" w:type="dxa"/>
            <w:tcBorders>
              <w:bottom w:val="single" w:sz="8" w:space="0" w:color="auto"/>
            </w:tcBorders>
            <w:vAlign w:val="bottom"/>
          </w:tcPr>
          <w:p w:rsidR="00E70C12" w:rsidRDefault="00E70C12">
            <w:pPr>
              <w:rPr>
                <w:sz w:val="20"/>
                <w:szCs w:val="20"/>
              </w:rPr>
            </w:pPr>
          </w:p>
        </w:tc>
        <w:tc>
          <w:tcPr>
            <w:tcW w:w="0" w:type="dxa"/>
            <w:vAlign w:val="bottom"/>
          </w:tcPr>
          <w:p w:rsidR="00E70C12" w:rsidRDefault="00E70C12">
            <w:pPr>
              <w:rPr>
                <w:sz w:val="1"/>
                <w:szCs w:val="1"/>
              </w:rPr>
            </w:pPr>
          </w:p>
        </w:tc>
      </w:tr>
      <w:tr w:rsidR="00E70C12">
        <w:trPr>
          <w:trHeight w:val="316"/>
        </w:trPr>
        <w:tc>
          <w:tcPr>
            <w:tcW w:w="20" w:type="dxa"/>
            <w:vAlign w:val="bottom"/>
          </w:tcPr>
          <w:p w:rsidR="00E70C12" w:rsidRDefault="00E70C12">
            <w:pPr>
              <w:rPr>
                <w:sz w:val="24"/>
                <w:szCs w:val="24"/>
              </w:rPr>
            </w:pPr>
          </w:p>
        </w:tc>
        <w:tc>
          <w:tcPr>
            <w:tcW w:w="3360" w:type="dxa"/>
            <w:shd w:val="clear" w:color="auto" w:fill="FF0000"/>
            <w:vAlign w:val="bottom"/>
          </w:tcPr>
          <w:p w:rsidR="00E70C12" w:rsidRDefault="00E70C12">
            <w:pPr>
              <w:rPr>
                <w:sz w:val="24"/>
                <w:szCs w:val="24"/>
              </w:rPr>
            </w:pPr>
          </w:p>
        </w:tc>
        <w:tc>
          <w:tcPr>
            <w:tcW w:w="1320" w:type="dxa"/>
            <w:tcBorders>
              <w:right w:val="single" w:sz="8" w:space="0" w:color="FF0000"/>
            </w:tcBorders>
            <w:shd w:val="clear" w:color="auto" w:fill="FF0000"/>
            <w:vAlign w:val="bottom"/>
          </w:tcPr>
          <w:p w:rsidR="00E70C12" w:rsidRDefault="005B59C5">
            <w:pPr>
              <w:spacing w:line="316" w:lineRule="exact"/>
              <w:ind w:left="80"/>
              <w:rPr>
                <w:sz w:val="20"/>
                <w:szCs w:val="20"/>
              </w:rPr>
            </w:pPr>
            <w:r>
              <w:rPr>
                <w:rFonts w:ascii="宋体" w:eastAsia="宋体" w:hAnsi="宋体" w:cs="宋体"/>
                <w:b/>
                <w:bCs/>
                <w:color w:val="FFFFFF"/>
                <w:sz w:val="28"/>
                <w:szCs w:val="28"/>
                <w:highlight w:val="red"/>
              </w:rPr>
              <w:t>第二模块</w:t>
            </w:r>
          </w:p>
        </w:tc>
        <w:tc>
          <w:tcPr>
            <w:tcW w:w="5160" w:type="dxa"/>
            <w:shd w:val="clear" w:color="auto" w:fill="FF0000"/>
            <w:vAlign w:val="bottom"/>
          </w:tcPr>
          <w:p w:rsidR="00E70C12" w:rsidRDefault="005B59C5">
            <w:pPr>
              <w:spacing w:line="316" w:lineRule="exact"/>
              <w:ind w:left="20"/>
              <w:rPr>
                <w:sz w:val="20"/>
                <w:szCs w:val="20"/>
              </w:rPr>
            </w:pPr>
            <w:r>
              <w:rPr>
                <w:rFonts w:ascii="宋体" w:eastAsia="宋体" w:hAnsi="宋体" w:cs="宋体"/>
                <w:b/>
                <w:bCs/>
                <w:color w:val="FFFFFF"/>
                <w:sz w:val="28"/>
                <w:szCs w:val="28"/>
                <w:highlight w:val="red"/>
              </w:rPr>
              <w:t>数字金融服务</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34"/>
        </w:trPr>
        <w:tc>
          <w:tcPr>
            <w:tcW w:w="20" w:type="dxa"/>
            <w:vAlign w:val="bottom"/>
          </w:tcPr>
          <w:p w:rsidR="00E70C12" w:rsidRDefault="00E70C12">
            <w:pPr>
              <w:rPr>
                <w:sz w:val="20"/>
                <w:szCs w:val="20"/>
              </w:rPr>
            </w:pPr>
          </w:p>
        </w:tc>
        <w:tc>
          <w:tcPr>
            <w:tcW w:w="3360" w:type="dxa"/>
            <w:shd w:val="clear" w:color="auto" w:fill="FF0000"/>
            <w:vAlign w:val="bottom"/>
          </w:tcPr>
          <w:p w:rsidR="00E70C12" w:rsidRDefault="00E70C12">
            <w:pPr>
              <w:rPr>
                <w:sz w:val="20"/>
                <w:szCs w:val="20"/>
              </w:rPr>
            </w:pPr>
          </w:p>
        </w:tc>
        <w:tc>
          <w:tcPr>
            <w:tcW w:w="1320" w:type="dxa"/>
            <w:tcBorders>
              <w:right w:val="single" w:sz="8" w:space="0" w:color="FF0000"/>
            </w:tcBorders>
            <w:shd w:val="clear" w:color="auto" w:fill="FF0000"/>
            <w:vAlign w:val="bottom"/>
          </w:tcPr>
          <w:p w:rsidR="00E70C12" w:rsidRDefault="00E70C12">
            <w:pPr>
              <w:rPr>
                <w:sz w:val="20"/>
                <w:szCs w:val="20"/>
              </w:rPr>
            </w:pPr>
          </w:p>
        </w:tc>
        <w:tc>
          <w:tcPr>
            <w:tcW w:w="5160" w:type="dxa"/>
            <w:shd w:val="clear" w:color="auto" w:fill="FF0000"/>
            <w:vAlign w:val="bottom"/>
          </w:tcPr>
          <w:p w:rsidR="00E70C12" w:rsidRDefault="00E70C12">
            <w:pPr>
              <w:rPr>
                <w:sz w:val="20"/>
                <w:szCs w:val="20"/>
              </w:rPr>
            </w:pPr>
          </w:p>
        </w:tc>
        <w:tc>
          <w:tcPr>
            <w:tcW w:w="20" w:type="dxa"/>
            <w:vAlign w:val="bottom"/>
          </w:tcPr>
          <w:p w:rsidR="00E70C12" w:rsidRDefault="00E70C12">
            <w:pPr>
              <w:rPr>
                <w:sz w:val="20"/>
                <w:szCs w:val="20"/>
              </w:rPr>
            </w:pPr>
          </w:p>
        </w:tc>
        <w:tc>
          <w:tcPr>
            <w:tcW w:w="0" w:type="dxa"/>
            <w:vAlign w:val="bottom"/>
          </w:tcPr>
          <w:p w:rsidR="00E70C12" w:rsidRDefault="00E70C12">
            <w:pPr>
              <w:rPr>
                <w:sz w:val="1"/>
                <w:szCs w:val="1"/>
              </w:rPr>
            </w:pPr>
          </w:p>
        </w:tc>
      </w:tr>
    </w:tbl>
    <w:p w:rsidR="00E70C12" w:rsidRDefault="00E70C12">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680"/>
        <w:gridCol w:w="5160"/>
        <w:gridCol w:w="20"/>
        <w:gridCol w:w="20"/>
      </w:tblGrid>
      <w:tr w:rsidR="00E70C12">
        <w:trPr>
          <w:trHeight w:val="290"/>
        </w:trPr>
        <w:tc>
          <w:tcPr>
            <w:tcW w:w="20" w:type="dxa"/>
            <w:tcBorders>
              <w:top w:val="single" w:sz="8" w:space="0" w:color="auto"/>
            </w:tcBorders>
            <w:vAlign w:val="bottom"/>
          </w:tcPr>
          <w:p w:rsidR="00E70C12" w:rsidRDefault="00E70C12">
            <w:pPr>
              <w:rPr>
                <w:sz w:val="24"/>
                <w:szCs w:val="24"/>
              </w:rPr>
            </w:pPr>
          </w:p>
        </w:tc>
        <w:tc>
          <w:tcPr>
            <w:tcW w:w="4680" w:type="dxa"/>
            <w:tcBorders>
              <w:top w:val="single" w:sz="8" w:space="0" w:color="auto"/>
              <w:right w:val="single" w:sz="8" w:space="0" w:color="auto"/>
            </w:tcBorders>
            <w:vAlign w:val="bottom"/>
          </w:tcPr>
          <w:p w:rsidR="00E70C12" w:rsidRDefault="005B59C5">
            <w:pPr>
              <w:spacing w:line="240" w:lineRule="exact"/>
              <w:ind w:left="100"/>
              <w:rPr>
                <w:sz w:val="20"/>
                <w:szCs w:val="20"/>
              </w:rPr>
            </w:pPr>
            <w:r>
              <w:rPr>
                <w:rFonts w:ascii="宋体" w:eastAsia="宋体" w:hAnsi="宋体" w:cs="宋体"/>
                <w:b/>
                <w:bCs/>
                <w:sz w:val="21"/>
                <w:szCs w:val="21"/>
              </w:rPr>
              <w:t>数字金融技术发展</w:t>
            </w:r>
          </w:p>
        </w:tc>
        <w:tc>
          <w:tcPr>
            <w:tcW w:w="5160" w:type="dxa"/>
            <w:tcBorders>
              <w:top w:val="single" w:sz="8" w:space="0" w:color="auto"/>
            </w:tcBorders>
            <w:vAlign w:val="bottom"/>
          </w:tcPr>
          <w:p w:rsidR="00E70C12" w:rsidRDefault="005B59C5">
            <w:pPr>
              <w:spacing w:line="240" w:lineRule="exact"/>
              <w:ind w:left="80"/>
              <w:rPr>
                <w:sz w:val="20"/>
                <w:szCs w:val="20"/>
              </w:rPr>
            </w:pPr>
            <w:r>
              <w:rPr>
                <w:rFonts w:ascii="宋体" w:eastAsia="宋体" w:hAnsi="宋体" w:cs="宋体"/>
                <w:b/>
                <w:bCs/>
                <w:sz w:val="21"/>
                <w:szCs w:val="21"/>
              </w:rPr>
              <w:t>数字金融服务</w:t>
            </w:r>
          </w:p>
        </w:tc>
        <w:tc>
          <w:tcPr>
            <w:tcW w:w="20" w:type="dxa"/>
            <w:tcBorders>
              <w:top w:val="single" w:sz="8" w:space="0" w:color="auto"/>
            </w:tcBorders>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540"/>
        </w:trPr>
        <w:tc>
          <w:tcPr>
            <w:tcW w:w="20" w:type="dxa"/>
            <w:vAlign w:val="bottom"/>
          </w:tcPr>
          <w:p w:rsidR="00E70C12" w:rsidRDefault="00E70C12">
            <w:pPr>
              <w:rPr>
                <w:sz w:val="24"/>
                <w:szCs w:val="24"/>
              </w:rPr>
            </w:pPr>
          </w:p>
        </w:tc>
        <w:tc>
          <w:tcPr>
            <w:tcW w:w="468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区块链技术及应用探索</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数字金融服务内涵</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540"/>
        </w:trPr>
        <w:tc>
          <w:tcPr>
            <w:tcW w:w="20" w:type="dxa"/>
            <w:vAlign w:val="bottom"/>
          </w:tcPr>
          <w:p w:rsidR="00E70C12" w:rsidRDefault="00E70C12">
            <w:pPr>
              <w:rPr>
                <w:sz w:val="24"/>
                <w:szCs w:val="24"/>
              </w:rPr>
            </w:pPr>
          </w:p>
        </w:tc>
        <w:tc>
          <w:tcPr>
            <w:tcW w:w="468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数字金融中的技术手段演变</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数字金融服务的发展转型（电子货币</w:t>
            </w:r>
            <w:r>
              <w:rPr>
                <w:rFonts w:ascii="宋体" w:eastAsia="宋体" w:hAnsi="宋体" w:cs="宋体"/>
                <w:sz w:val="21"/>
                <w:szCs w:val="21"/>
              </w:rPr>
              <w:t>/</w:t>
            </w:r>
            <w:r>
              <w:rPr>
                <w:rFonts w:ascii="宋体" w:eastAsia="宋体" w:hAnsi="宋体" w:cs="宋体"/>
                <w:sz w:val="21"/>
                <w:szCs w:val="21"/>
              </w:rPr>
              <w:t>移动、数字金</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340"/>
        </w:trPr>
        <w:tc>
          <w:tcPr>
            <w:tcW w:w="20" w:type="dxa"/>
            <w:vAlign w:val="bottom"/>
          </w:tcPr>
          <w:p w:rsidR="00E70C12" w:rsidRDefault="00E70C12">
            <w:pPr>
              <w:rPr>
                <w:sz w:val="24"/>
                <w:szCs w:val="24"/>
              </w:rPr>
            </w:pPr>
          </w:p>
        </w:tc>
        <w:tc>
          <w:tcPr>
            <w:tcW w:w="4680" w:type="dxa"/>
            <w:vMerge w:val="restart"/>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数字金融中的大数据分析、金融云服务、移动</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融服务</w:t>
            </w:r>
            <w:r>
              <w:rPr>
                <w:rFonts w:ascii="宋体" w:eastAsia="宋体" w:hAnsi="宋体" w:cs="宋体"/>
                <w:sz w:val="21"/>
                <w:szCs w:val="21"/>
              </w:rPr>
              <w:t>/</w:t>
            </w:r>
            <w:r>
              <w:rPr>
                <w:rFonts w:ascii="宋体" w:eastAsia="宋体" w:hAnsi="宋体" w:cs="宋体"/>
                <w:sz w:val="21"/>
                <w:szCs w:val="21"/>
              </w:rPr>
              <w:t>网上金融服务</w:t>
            </w:r>
            <w:r>
              <w:rPr>
                <w:rFonts w:ascii="宋体" w:eastAsia="宋体" w:hAnsi="宋体" w:cs="宋体"/>
                <w:sz w:val="21"/>
                <w:szCs w:val="21"/>
              </w:rPr>
              <w:t>/</w:t>
            </w:r>
            <w:r>
              <w:rPr>
                <w:rFonts w:ascii="宋体" w:eastAsia="宋体" w:hAnsi="宋体" w:cs="宋体"/>
                <w:sz w:val="21"/>
                <w:szCs w:val="21"/>
              </w:rPr>
              <w:t>智能柜员和直销银行）</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00"/>
        </w:trPr>
        <w:tc>
          <w:tcPr>
            <w:tcW w:w="20" w:type="dxa"/>
            <w:vAlign w:val="bottom"/>
          </w:tcPr>
          <w:p w:rsidR="00E70C12" w:rsidRDefault="00E70C12">
            <w:pPr>
              <w:rPr>
                <w:sz w:val="17"/>
                <w:szCs w:val="17"/>
              </w:rPr>
            </w:pPr>
          </w:p>
        </w:tc>
        <w:tc>
          <w:tcPr>
            <w:tcW w:w="4680" w:type="dxa"/>
            <w:vMerge/>
            <w:tcBorders>
              <w:right w:val="single" w:sz="8" w:space="0" w:color="auto"/>
            </w:tcBorders>
            <w:vAlign w:val="bottom"/>
          </w:tcPr>
          <w:p w:rsidR="00E70C12" w:rsidRDefault="00E70C12">
            <w:pPr>
              <w:rPr>
                <w:sz w:val="17"/>
                <w:szCs w:val="17"/>
              </w:rPr>
            </w:pPr>
          </w:p>
        </w:tc>
        <w:tc>
          <w:tcPr>
            <w:tcW w:w="5160" w:type="dxa"/>
            <w:vAlign w:val="bottom"/>
          </w:tcPr>
          <w:p w:rsidR="00E70C12" w:rsidRDefault="00E70C12">
            <w:pPr>
              <w:rPr>
                <w:sz w:val="17"/>
                <w:szCs w:val="17"/>
              </w:rPr>
            </w:pPr>
          </w:p>
        </w:tc>
        <w:tc>
          <w:tcPr>
            <w:tcW w:w="20" w:type="dxa"/>
            <w:vAlign w:val="bottom"/>
          </w:tcPr>
          <w:p w:rsidR="00E70C12" w:rsidRDefault="00E70C12">
            <w:pPr>
              <w:rPr>
                <w:sz w:val="17"/>
                <w:szCs w:val="17"/>
              </w:rPr>
            </w:pPr>
          </w:p>
        </w:tc>
        <w:tc>
          <w:tcPr>
            <w:tcW w:w="0" w:type="dxa"/>
            <w:vAlign w:val="bottom"/>
          </w:tcPr>
          <w:p w:rsidR="00E70C12" w:rsidRDefault="00E70C12">
            <w:pPr>
              <w:rPr>
                <w:sz w:val="1"/>
                <w:szCs w:val="1"/>
              </w:rPr>
            </w:pPr>
          </w:p>
        </w:tc>
      </w:tr>
      <w:tr w:rsidR="00E70C12">
        <w:trPr>
          <w:trHeight w:val="340"/>
        </w:trPr>
        <w:tc>
          <w:tcPr>
            <w:tcW w:w="20" w:type="dxa"/>
            <w:vAlign w:val="bottom"/>
          </w:tcPr>
          <w:p w:rsidR="00E70C12" w:rsidRDefault="00E70C12">
            <w:pPr>
              <w:rPr>
                <w:sz w:val="24"/>
                <w:szCs w:val="24"/>
              </w:rPr>
            </w:pPr>
          </w:p>
        </w:tc>
        <w:tc>
          <w:tcPr>
            <w:tcW w:w="468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金融业务</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数字货币交易（挖矿</w:t>
            </w:r>
            <w:r>
              <w:rPr>
                <w:rFonts w:ascii="宋体" w:eastAsia="宋体" w:hAnsi="宋体" w:cs="宋体"/>
                <w:sz w:val="21"/>
                <w:szCs w:val="21"/>
              </w:rPr>
              <w:t>-</w:t>
            </w:r>
            <w:r>
              <w:rPr>
                <w:rFonts w:ascii="宋体" w:eastAsia="宋体" w:hAnsi="宋体" w:cs="宋体"/>
                <w:sz w:val="21"/>
                <w:szCs w:val="21"/>
              </w:rPr>
              <w:t>账户</w:t>
            </w:r>
            <w:r>
              <w:rPr>
                <w:rFonts w:ascii="宋体" w:eastAsia="宋体" w:hAnsi="宋体" w:cs="宋体"/>
                <w:sz w:val="21"/>
                <w:szCs w:val="21"/>
              </w:rPr>
              <w:t>-</w:t>
            </w:r>
            <w:r>
              <w:rPr>
                <w:rFonts w:ascii="宋体" w:eastAsia="宋体" w:hAnsi="宋体" w:cs="宋体"/>
                <w:sz w:val="21"/>
                <w:szCs w:val="21"/>
              </w:rPr>
              <w:t>交易</w:t>
            </w:r>
            <w:r>
              <w:rPr>
                <w:rFonts w:ascii="宋体" w:eastAsia="宋体" w:hAnsi="宋体" w:cs="宋体"/>
                <w:sz w:val="21"/>
                <w:szCs w:val="21"/>
              </w:rPr>
              <w:t>-</w:t>
            </w:r>
            <w:r>
              <w:rPr>
                <w:rFonts w:ascii="宋体" w:eastAsia="宋体" w:hAnsi="宋体" w:cs="宋体"/>
                <w:sz w:val="21"/>
                <w:szCs w:val="21"/>
              </w:rPr>
              <w:t>发行</w:t>
            </w:r>
            <w:r>
              <w:rPr>
                <w:rFonts w:ascii="宋体" w:eastAsia="宋体" w:hAnsi="宋体" w:cs="宋体"/>
                <w:sz w:val="21"/>
                <w:szCs w:val="21"/>
              </w:rPr>
              <w:t>-</w:t>
            </w:r>
            <w:r>
              <w:rPr>
                <w:rFonts w:ascii="宋体" w:eastAsia="宋体" w:hAnsi="宋体" w:cs="宋体"/>
                <w:sz w:val="21"/>
                <w:szCs w:val="21"/>
              </w:rPr>
              <w:t>价值</w:t>
            </w:r>
            <w:r>
              <w:rPr>
                <w:rFonts w:ascii="宋体" w:eastAsia="宋体" w:hAnsi="宋体" w:cs="宋体"/>
                <w:sz w:val="21"/>
                <w:szCs w:val="21"/>
              </w:rPr>
              <w:t>-</w:t>
            </w:r>
            <w:r>
              <w:rPr>
                <w:rFonts w:ascii="宋体" w:eastAsia="宋体" w:hAnsi="宋体" w:cs="宋体"/>
                <w:sz w:val="21"/>
                <w:szCs w:val="21"/>
              </w:rPr>
              <w:t>市场）</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40"/>
        </w:trPr>
        <w:tc>
          <w:tcPr>
            <w:tcW w:w="20" w:type="dxa"/>
            <w:tcBorders>
              <w:bottom w:val="single" w:sz="8" w:space="0" w:color="auto"/>
            </w:tcBorders>
            <w:vAlign w:val="bottom"/>
          </w:tcPr>
          <w:p w:rsidR="00E70C12" w:rsidRDefault="00E70C12">
            <w:pPr>
              <w:rPr>
                <w:sz w:val="20"/>
                <w:szCs w:val="20"/>
              </w:rPr>
            </w:pPr>
          </w:p>
        </w:tc>
        <w:tc>
          <w:tcPr>
            <w:tcW w:w="4680" w:type="dxa"/>
            <w:tcBorders>
              <w:bottom w:val="single" w:sz="8" w:space="0" w:color="auto"/>
              <w:right w:val="single" w:sz="8" w:space="0" w:color="auto"/>
            </w:tcBorders>
            <w:vAlign w:val="bottom"/>
          </w:tcPr>
          <w:p w:rsidR="00E70C12" w:rsidRDefault="00E70C12">
            <w:pPr>
              <w:rPr>
                <w:sz w:val="20"/>
                <w:szCs w:val="20"/>
              </w:rPr>
            </w:pPr>
          </w:p>
        </w:tc>
        <w:tc>
          <w:tcPr>
            <w:tcW w:w="5160" w:type="dxa"/>
            <w:tcBorders>
              <w:bottom w:val="single" w:sz="8" w:space="0" w:color="auto"/>
            </w:tcBorders>
            <w:vAlign w:val="bottom"/>
          </w:tcPr>
          <w:p w:rsidR="00E70C12" w:rsidRDefault="00E70C12">
            <w:pPr>
              <w:rPr>
                <w:sz w:val="20"/>
                <w:szCs w:val="20"/>
              </w:rPr>
            </w:pPr>
          </w:p>
        </w:tc>
        <w:tc>
          <w:tcPr>
            <w:tcW w:w="20" w:type="dxa"/>
            <w:tcBorders>
              <w:bottom w:val="single" w:sz="8" w:space="0" w:color="auto"/>
            </w:tcBorders>
            <w:vAlign w:val="bottom"/>
          </w:tcPr>
          <w:p w:rsidR="00E70C12" w:rsidRDefault="00E70C12">
            <w:pPr>
              <w:rPr>
                <w:sz w:val="20"/>
                <w:szCs w:val="20"/>
              </w:rPr>
            </w:pPr>
          </w:p>
        </w:tc>
        <w:tc>
          <w:tcPr>
            <w:tcW w:w="0" w:type="dxa"/>
            <w:vAlign w:val="bottom"/>
          </w:tcPr>
          <w:p w:rsidR="00E70C12" w:rsidRDefault="00E70C12">
            <w:pPr>
              <w:rPr>
                <w:sz w:val="1"/>
                <w:szCs w:val="1"/>
              </w:rPr>
            </w:pPr>
          </w:p>
        </w:tc>
      </w:tr>
      <w:tr w:rsidR="00E70C12">
        <w:trPr>
          <w:trHeight w:val="316"/>
        </w:trPr>
        <w:tc>
          <w:tcPr>
            <w:tcW w:w="20" w:type="dxa"/>
            <w:vAlign w:val="bottom"/>
          </w:tcPr>
          <w:p w:rsidR="00E70C12" w:rsidRDefault="00E70C12">
            <w:pPr>
              <w:rPr>
                <w:sz w:val="24"/>
                <w:szCs w:val="24"/>
              </w:rPr>
            </w:pPr>
          </w:p>
        </w:tc>
        <w:tc>
          <w:tcPr>
            <w:tcW w:w="9840" w:type="dxa"/>
            <w:gridSpan w:val="2"/>
            <w:shd w:val="clear" w:color="auto" w:fill="FF0000"/>
            <w:vAlign w:val="bottom"/>
          </w:tcPr>
          <w:p w:rsidR="00E70C12" w:rsidRDefault="005B59C5">
            <w:pPr>
              <w:spacing w:line="316" w:lineRule="exact"/>
              <w:ind w:left="2880"/>
              <w:rPr>
                <w:sz w:val="20"/>
                <w:szCs w:val="20"/>
              </w:rPr>
            </w:pPr>
            <w:r>
              <w:rPr>
                <w:rFonts w:ascii="宋体" w:eastAsia="宋体" w:hAnsi="宋体" w:cs="宋体"/>
                <w:b/>
                <w:bCs/>
                <w:color w:val="FFFFFF"/>
                <w:sz w:val="28"/>
                <w:szCs w:val="28"/>
              </w:rPr>
              <w:t>第三模块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数字经济的机遇与挑战</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34"/>
        </w:trPr>
        <w:tc>
          <w:tcPr>
            <w:tcW w:w="20" w:type="dxa"/>
            <w:tcBorders>
              <w:bottom w:val="single" w:sz="8" w:space="0" w:color="auto"/>
            </w:tcBorders>
            <w:vAlign w:val="bottom"/>
          </w:tcPr>
          <w:p w:rsidR="00E70C12" w:rsidRDefault="00E70C12">
            <w:pPr>
              <w:rPr>
                <w:sz w:val="20"/>
                <w:szCs w:val="20"/>
              </w:rPr>
            </w:pPr>
          </w:p>
        </w:tc>
        <w:tc>
          <w:tcPr>
            <w:tcW w:w="4680" w:type="dxa"/>
            <w:tcBorders>
              <w:bottom w:val="single" w:sz="8" w:space="0" w:color="auto"/>
              <w:right w:val="single" w:sz="8" w:space="0" w:color="FF0000"/>
            </w:tcBorders>
            <w:shd w:val="clear" w:color="auto" w:fill="FF0000"/>
            <w:vAlign w:val="bottom"/>
          </w:tcPr>
          <w:p w:rsidR="00E70C12" w:rsidRDefault="00E70C12">
            <w:pPr>
              <w:rPr>
                <w:sz w:val="20"/>
                <w:szCs w:val="20"/>
              </w:rPr>
            </w:pPr>
          </w:p>
        </w:tc>
        <w:tc>
          <w:tcPr>
            <w:tcW w:w="5160" w:type="dxa"/>
            <w:tcBorders>
              <w:bottom w:val="single" w:sz="8" w:space="0" w:color="auto"/>
            </w:tcBorders>
            <w:shd w:val="clear" w:color="auto" w:fill="FF0000"/>
            <w:vAlign w:val="bottom"/>
          </w:tcPr>
          <w:p w:rsidR="00E70C12" w:rsidRDefault="00E70C12">
            <w:pPr>
              <w:rPr>
                <w:sz w:val="20"/>
                <w:szCs w:val="20"/>
              </w:rPr>
            </w:pPr>
          </w:p>
        </w:tc>
        <w:tc>
          <w:tcPr>
            <w:tcW w:w="20" w:type="dxa"/>
            <w:tcBorders>
              <w:bottom w:val="single" w:sz="8" w:space="0" w:color="auto"/>
            </w:tcBorders>
            <w:vAlign w:val="bottom"/>
          </w:tcPr>
          <w:p w:rsidR="00E70C12" w:rsidRDefault="00E70C12">
            <w:pPr>
              <w:rPr>
                <w:sz w:val="20"/>
                <w:szCs w:val="20"/>
              </w:rPr>
            </w:pPr>
          </w:p>
        </w:tc>
        <w:tc>
          <w:tcPr>
            <w:tcW w:w="0" w:type="dxa"/>
            <w:vAlign w:val="bottom"/>
          </w:tcPr>
          <w:p w:rsidR="00E70C12" w:rsidRDefault="00E70C12">
            <w:pPr>
              <w:rPr>
                <w:sz w:val="1"/>
                <w:szCs w:val="1"/>
              </w:rPr>
            </w:pPr>
          </w:p>
        </w:tc>
      </w:tr>
      <w:tr w:rsidR="00E70C12">
        <w:trPr>
          <w:trHeight w:val="306"/>
        </w:trPr>
        <w:tc>
          <w:tcPr>
            <w:tcW w:w="20" w:type="dxa"/>
            <w:vAlign w:val="bottom"/>
          </w:tcPr>
          <w:p w:rsidR="00E70C12" w:rsidRDefault="00E70C12">
            <w:pPr>
              <w:rPr>
                <w:sz w:val="24"/>
                <w:szCs w:val="24"/>
              </w:rPr>
            </w:pPr>
          </w:p>
        </w:tc>
        <w:tc>
          <w:tcPr>
            <w:tcW w:w="468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b/>
                <w:bCs/>
                <w:sz w:val="21"/>
                <w:szCs w:val="21"/>
              </w:rPr>
              <w:t>数字经济发展机遇</w:t>
            </w:r>
          </w:p>
        </w:tc>
        <w:tc>
          <w:tcPr>
            <w:tcW w:w="5160" w:type="dxa"/>
            <w:vAlign w:val="bottom"/>
          </w:tcPr>
          <w:p w:rsidR="00E70C12" w:rsidRDefault="005B59C5">
            <w:pPr>
              <w:spacing w:line="240" w:lineRule="exact"/>
              <w:ind w:left="80"/>
              <w:rPr>
                <w:sz w:val="20"/>
                <w:szCs w:val="20"/>
              </w:rPr>
            </w:pPr>
            <w:r>
              <w:rPr>
                <w:rFonts w:ascii="宋体" w:eastAsia="宋体" w:hAnsi="宋体" w:cs="宋体"/>
                <w:b/>
                <w:bCs/>
                <w:sz w:val="21"/>
                <w:szCs w:val="21"/>
              </w:rPr>
              <w:t>数字经济发展挑战</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488"/>
        </w:trPr>
        <w:tc>
          <w:tcPr>
            <w:tcW w:w="20" w:type="dxa"/>
            <w:vAlign w:val="bottom"/>
          </w:tcPr>
          <w:p w:rsidR="00E70C12" w:rsidRDefault="00E70C12">
            <w:pPr>
              <w:rPr>
                <w:sz w:val="24"/>
                <w:szCs w:val="24"/>
              </w:rPr>
            </w:pPr>
          </w:p>
        </w:tc>
        <w:tc>
          <w:tcPr>
            <w:tcW w:w="468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数字经济时代的国民经济图景</w:t>
            </w:r>
          </w:p>
        </w:tc>
        <w:tc>
          <w:tcPr>
            <w:tcW w:w="5160" w:type="dxa"/>
            <w:vMerge w:val="restart"/>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数字金融发展下的风险控制（数字金融复杂性、信</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72"/>
        </w:trPr>
        <w:tc>
          <w:tcPr>
            <w:tcW w:w="20" w:type="dxa"/>
            <w:vAlign w:val="bottom"/>
          </w:tcPr>
          <w:p w:rsidR="00E70C12" w:rsidRDefault="00E70C12">
            <w:pPr>
              <w:rPr>
                <w:sz w:val="6"/>
                <w:szCs w:val="6"/>
              </w:rPr>
            </w:pPr>
          </w:p>
        </w:tc>
        <w:tc>
          <w:tcPr>
            <w:tcW w:w="4680" w:type="dxa"/>
            <w:tcBorders>
              <w:right w:val="single" w:sz="8" w:space="0" w:color="auto"/>
            </w:tcBorders>
            <w:vAlign w:val="bottom"/>
          </w:tcPr>
          <w:p w:rsidR="00E70C12" w:rsidRDefault="00E70C12">
            <w:pPr>
              <w:rPr>
                <w:sz w:val="6"/>
                <w:szCs w:val="6"/>
              </w:rPr>
            </w:pPr>
          </w:p>
        </w:tc>
        <w:tc>
          <w:tcPr>
            <w:tcW w:w="5160" w:type="dxa"/>
            <w:vMerge/>
            <w:vAlign w:val="bottom"/>
          </w:tcPr>
          <w:p w:rsidR="00E70C12" w:rsidRDefault="00E70C12">
            <w:pPr>
              <w:rPr>
                <w:sz w:val="6"/>
                <w:szCs w:val="6"/>
              </w:rPr>
            </w:pPr>
          </w:p>
        </w:tc>
        <w:tc>
          <w:tcPr>
            <w:tcW w:w="20" w:type="dxa"/>
            <w:vAlign w:val="bottom"/>
          </w:tcPr>
          <w:p w:rsidR="00E70C12" w:rsidRDefault="00E70C12">
            <w:pPr>
              <w:rPr>
                <w:sz w:val="6"/>
                <w:szCs w:val="6"/>
              </w:rPr>
            </w:pPr>
          </w:p>
        </w:tc>
        <w:tc>
          <w:tcPr>
            <w:tcW w:w="0" w:type="dxa"/>
            <w:vAlign w:val="bottom"/>
          </w:tcPr>
          <w:p w:rsidR="00E70C12" w:rsidRDefault="00E70C12">
            <w:pPr>
              <w:rPr>
                <w:sz w:val="1"/>
                <w:szCs w:val="1"/>
              </w:rPr>
            </w:pPr>
          </w:p>
        </w:tc>
      </w:tr>
      <w:tr w:rsidR="00E70C12">
        <w:trPr>
          <w:trHeight w:val="360"/>
        </w:trPr>
        <w:tc>
          <w:tcPr>
            <w:tcW w:w="20" w:type="dxa"/>
            <w:vAlign w:val="bottom"/>
          </w:tcPr>
          <w:p w:rsidR="00E70C12" w:rsidRDefault="00E70C12">
            <w:pPr>
              <w:rPr>
                <w:sz w:val="24"/>
                <w:szCs w:val="24"/>
              </w:rPr>
            </w:pPr>
          </w:p>
        </w:tc>
        <w:tc>
          <w:tcPr>
            <w:tcW w:w="4680" w:type="dxa"/>
            <w:vMerge w:val="restart"/>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新型金融在国家战略中的地位</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息不对称以及消费者的认知行为）</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88"/>
        </w:trPr>
        <w:tc>
          <w:tcPr>
            <w:tcW w:w="20" w:type="dxa"/>
            <w:vAlign w:val="bottom"/>
          </w:tcPr>
          <w:p w:rsidR="00E70C12" w:rsidRDefault="00E70C12">
            <w:pPr>
              <w:rPr>
                <w:sz w:val="7"/>
                <w:szCs w:val="7"/>
              </w:rPr>
            </w:pPr>
          </w:p>
        </w:tc>
        <w:tc>
          <w:tcPr>
            <w:tcW w:w="4680" w:type="dxa"/>
            <w:vMerge/>
            <w:tcBorders>
              <w:right w:val="single" w:sz="8" w:space="0" w:color="auto"/>
            </w:tcBorders>
            <w:vAlign w:val="bottom"/>
          </w:tcPr>
          <w:p w:rsidR="00E70C12" w:rsidRDefault="00E70C12">
            <w:pPr>
              <w:rPr>
                <w:sz w:val="7"/>
                <w:szCs w:val="7"/>
              </w:rPr>
            </w:pPr>
          </w:p>
        </w:tc>
        <w:tc>
          <w:tcPr>
            <w:tcW w:w="5160" w:type="dxa"/>
            <w:vAlign w:val="bottom"/>
          </w:tcPr>
          <w:p w:rsidR="00E70C12" w:rsidRDefault="00E70C12">
            <w:pPr>
              <w:rPr>
                <w:sz w:val="7"/>
                <w:szCs w:val="7"/>
              </w:rPr>
            </w:pPr>
          </w:p>
        </w:tc>
        <w:tc>
          <w:tcPr>
            <w:tcW w:w="20" w:type="dxa"/>
            <w:vAlign w:val="bottom"/>
          </w:tcPr>
          <w:p w:rsidR="00E70C12" w:rsidRDefault="00E70C12">
            <w:pPr>
              <w:rPr>
                <w:sz w:val="7"/>
                <w:szCs w:val="7"/>
              </w:rPr>
            </w:pPr>
          </w:p>
        </w:tc>
        <w:tc>
          <w:tcPr>
            <w:tcW w:w="0" w:type="dxa"/>
            <w:vAlign w:val="bottom"/>
          </w:tcPr>
          <w:p w:rsidR="00E70C12" w:rsidRDefault="00E70C12">
            <w:pPr>
              <w:rPr>
                <w:sz w:val="1"/>
                <w:szCs w:val="1"/>
              </w:rPr>
            </w:pPr>
          </w:p>
        </w:tc>
      </w:tr>
      <w:tr w:rsidR="00E70C12">
        <w:trPr>
          <w:trHeight w:val="520"/>
        </w:trPr>
        <w:tc>
          <w:tcPr>
            <w:tcW w:w="20" w:type="dxa"/>
            <w:vAlign w:val="bottom"/>
          </w:tcPr>
          <w:p w:rsidR="00E70C12" w:rsidRDefault="00E70C12">
            <w:pPr>
              <w:rPr>
                <w:sz w:val="24"/>
                <w:szCs w:val="24"/>
              </w:rPr>
            </w:pPr>
          </w:p>
        </w:tc>
        <w:tc>
          <w:tcPr>
            <w:tcW w:w="468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大车间经济到智慧数字经济更替</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数字金融发展下的配套政策及法律法规完善（数字</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312"/>
        </w:trPr>
        <w:tc>
          <w:tcPr>
            <w:tcW w:w="20" w:type="dxa"/>
            <w:vAlign w:val="bottom"/>
          </w:tcPr>
          <w:p w:rsidR="00E70C12" w:rsidRDefault="00E70C12">
            <w:pPr>
              <w:rPr>
                <w:sz w:val="24"/>
                <w:szCs w:val="24"/>
              </w:rPr>
            </w:pPr>
          </w:p>
        </w:tc>
        <w:tc>
          <w:tcPr>
            <w:tcW w:w="4680" w:type="dxa"/>
            <w:vMerge w:val="restart"/>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数字知识与金融知识的演化结合</w:t>
            </w:r>
          </w:p>
        </w:tc>
        <w:tc>
          <w:tcPr>
            <w:tcW w:w="5160" w:type="dxa"/>
            <w:vAlign w:val="bottom"/>
          </w:tcPr>
          <w:p w:rsidR="00E70C12" w:rsidRDefault="005B59C5">
            <w:pPr>
              <w:spacing w:line="240" w:lineRule="exact"/>
              <w:ind w:left="80"/>
              <w:rPr>
                <w:sz w:val="20"/>
                <w:szCs w:val="20"/>
              </w:rPr>
            </w:pPr>
            <w:r>
              <w:rPr>
                <w:rFonts w:ascii="宋体" w:eastAsia="宋体" w:hAnsi="宋体" w:cs="宋体"/>
                <w:sz w:val="21"/>
                <w:szCs w:val="21"/>
              </w:rPr>
              <w:t>金融机构的革新演化等）</w:t>
            </w:r>
          </w:p>
        </w:tc>
        <w:tc>
          <w:tcPr>
            <w:tcW w:w="2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08"/>
        </w:trPr>
        <w:tc>
          <w:tcPr>
            <w:tcW w:w="20" w:type="dxa"/>
            <w:vAlign w:val="bottom"/>
          </w:tcPr>
          <w:p w:rsidR="00E70C12" w:rsidRDefault="00E70C12">
            <w:pPr>
              <w:rPr>
                <w:sz w:val="18"/>
                <w:szCs w:val="18"/>
              </w:rPr>
            </w:pPr>
          </w:p>
        </w:tc>
        <w:tc>
          <w:tcPr>
            <w:tcW w:w="4680" w:type="dxa"/>
            <w:vMerge/>
            <w:tcBorders>
              <w:right w:val="single" w:sz="8" w:space="0" w:color="auto"/>
            </w:tcBorders>
            <w:vAlign w:val="bottom"/>
          </w:tcPr>
          <w:p w:rsidR="00E70C12" w:rsidRDefault="00E70C12">
            <w:pPr>
              <w:rPr>
                <w:sz w:val="18"/>
                <w:szCs w:val="18"/>
              </w:rPr>
            </w:pPr>
          </w:p>
        </w:tc>
        <w:tc>
          <w:tcPr>
            <w:tcW w:w="5160" w:type="dxa"/>
            <w:vAlign w:val="bottom"/>
          </w:tcPr>
          <w:p w:rsidR="00E70C12" w:rsidRDefault="00E70C12">
            <w:pPr>
              <w:rPr>
                <w:sz w:val="18"/>
                <w:szCs w:val="18"/>
              </w:rPr>
            </w:pPr>
          </w:p>
        </w:tc>
        <w:tc>
          <w:tcPr>
            <w:tcW w:w="20" w:type="dxa"/>
            <w:vAlign w:val="bottom"/>
          </w:tcPr>
          <w:p w:rsidR="00E70C12" w:rsidRDefault="00E70C12">
            <w:pPr>
              <w:rPr>
                <w:sz w:val="18"/>
                <w:szCs w:val="18"/>
              </w:rPr>
            </w:pPr>
          </w:p>
        </w:tc>
        <w:tc>
          <w:tcPr>
            <w:tcW w:w="0" w:type="dxa"/>
            <w:vAlign w:val="bottom"/>
          </w:tcPr>
          <w:p w:rsidR="00E70C12" w:rsidRDefault="00E70C12">
            <w:pPr>
              <w:rPr>
                <w:sz w:val="1"/>
                <w:szCs w:val="1"/>
              </w:rPr>
            </w:pPr>
          </w:p>
        </w:tc>
      </w:tr>
      <w:tr w:rsidR="00E70C12">
        <w:trPr>
          <w:trHeight w:val="236"/>
        </w:trPr>
        <w:tc>
          <w:tcPr>
            <w:tcW w:w="20" w:type="dxa"/>
            <w:tcBorders>
              <w:bottom w:val="single" w:sz="8" w:space="0" w:color="auto"/>
            </w:tcBorders>
            <w:vAlign w:val="bottom"/>
          </w:tcPr>
          <w:p w:rsidR="00E70C12" w:rsidRDefault="00E70C12">
            <w:pPr>
              <w:rPr>
                <w:sz w:val="20"/>
                <w:szCs w:val="20"/>
              </w:rPr>
            </w:pPr>
          </w:p>
        </w:tc>
        <w:tc>
          <w:tcPr>
            <w:tcW w:w="4680" w:type="dxa"/>
            <w:tcBorders>
              <w:bottom w:val="single" w:sz="8" w:space="0" w:color="auto"/>
              <w:right w:val="single" w:sz="8" w:space="0" w:color="auto"/>
            </w:tcBorders>
            <w:vAlign w:val="bottom"/>
          </w:tcPr>
          <w:p w:rsidR="00E70C12" w:rsidRDefault="00E70C12">
            <w:pPr>
              <w:rPr>
                <w:sz w:val="20"/>
                <w:szCs w:val="20"/>
              </w:rPr>
            </w:pPr>
          </w:p>
        </w:tc>
        <w:tc>
          <w:tcPr>
            <w:tcW w:w="5160" w:type="dxa"/>
            <w:tcBorders>
              <w:bottom w:val="single" w:sz="8" w:space="0" w:color="auto"/>
            </w:tcBorders>
            <w:vAlign w:val="bottom"/>
          </w:tcPr>
          <w:p w:rsidR="00E70C12" w:rsidRDefault="00E70C12">
            <w:pPr>
              <w:rPr>
                <w:sz w:val="20"/>
                <w:szCs w:val="20"/>
              </w:rPr>
            </w:pPr>
          </w:p>
        </w:tc>
        <w:tc>
          <w:tcPr>
            <w:tcW w:w="20" w:type="dxa"/>
            <w:tcBorders>
              <w:bottom w:val="single" w:sz="8" w:space="0" w:color="auto"/>
            </w:tcBorders>
            <w:vAlign w:val="bottom"/>
          </w:tcPr>
          <w:p w:rsidR="00E70C12" w:rsidRDefault="00E70C12">
            <w:pPr>
              <w:rPr>
                <w:sz w:val="20"/>
                <w:szCs w:val="20"/>
              </w:rPr>
            </w:pPr>
          </w:p>
        </w:tc>
        <w:tc>
          <w:tcPr>
            <w:tcW w:w="0" w:type="dxa"/>
            <w:vAlign w:val="bottom"/>
          </w:tcPr>
          <w:p w:rsidR="00E70C12" w:rsidRDefault="00E70C12">
            <w:pPr>
              <w:rPr>
                <w:sz w:val="1"/>
                <w:szCs w:val="1"/>
              </w:rPr>
            </w:pPr>
          </w:p>
        </w:tc>
      </w:tr>
    </w:tbl>
    <w:p w:rsidR="00E70C12" w:rsidRDefault="00E70C12">
      <w:pPr>
        <w:sectPr w:rsidR="00E70C12">
          <w:pgSz w:w="11900" w:h="16838"/>
          <w:pgMar w:top="1440" w:right="906" w:bottom="929" w:left="1120" w:header="0" w:footer="0" w:gutter="0"/>
          <w:cols w:space="720" w:equalWidth="0">
            <w:col w:w="9880"/>
          </w:cols>
        </w:sectPr>
      </w:pPr>
    </w:p>
    <w:p w:rsidR="00E70C12" w:rsidRDefault="005B59C5">
      <w:pPr>
        <w:spacing w:line="1" w:lineRule="exact"/>
        <w:rPr>
          <w:sz w:val="20"/>
          <w:szCs w:val="20"/>
        </w:rPr>
      </w:pPr>
      <w:bookmarkStart w:id="2" w:name="page3"/>
      <w:bookmarkEnd w:id="2"/>
      <w:r>
        <w:rPr>
          <w:noProof/>
          <w:sz w:val="20"/>
          <w:szCs w:val="20"/>
        </w:rPr>
        <w:lastRenderedPageBreak/>
        <w:drawing>
          <wp:anchor distT="0" distB="0" distL="114300" distR="114300" simplePos="0" relativeHeight="251643904" behindDoc="1" locked="0" layoutInCell="0" allowOverlap="1">
            <wp:simplePos x="0" y="0"/>
            <wp:positionH relativeFrom="page">
              <wp:posOffset>716280</wp:posOffset>
            </wp:positionH>
            <wp:positionV relativeFrom="page">
              <wp:posOffset>914400</wp:posOffset>
            </wp:positionV>
            <wp:extent cx="6263640" cy="658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263640" cy="6584950"/>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700"/>
        <w:gridCol w:w="5180"/>
        <w:gridCol w:w="20"/>
      </w:tblGrid>
      <w:tr w:rsidR="00E70C12">
        <w:trPr>
          <w:trHeight w:val="326"/>
        </w:trPr>
        <w:tc>
          <w:tcPr>
            <w:tcW w:w="4700" w:type="dxa"/>
            <w:tcBorders>
              <w:top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数字经济下的新货币体系运作及数字货币流通</w:t>
            </w:r>
          </w:p>
        </w:tc>
        <w:tc>
          <w:tcPr>
            <w:tcW w:w="5180" w:type="dxa"/>
            <w:tcBorders>
              <w:top w:val="single" w:sz="8" w:space="0" w:color="auto"/>
            </w:tcBorders>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数字金融发展中的创新环境（支持与保护）</w:t>
            </w:r>
          </w:p>
        </w:tc>
        <w:tc>
          <w:tcPr>
            <w:tcW w:w="0" w:type="dxa"/>
            <w:vAlign w:val="bottom"/>
          </w:tcPr>
          <w:p w:rsidR="00E70C12" w:rsidRDefault="00E70C12">
            <w:pPr>
              <w:rPr>
                <w:sz w:val="1"/>
                <w:szCs w:val="1"/>
              </w:rPr>
            </w:pPr>
          </w:p>
        </w:tc>
      </w:tr>
      <w:tr w:rsidR="00E70C12">
        <w:trPr>
          <w:trHeight w:val="488"/>
        </w:trPr>
        <w:tc>
          <w:tcPr>
            <w:tcW w:w="4700" w:type="dxa"/>
            <w:tcBorders>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数字经济下的投资机遇和资本特征</w:t>
            </w:r>
          </w:p>
        </w:tc>
        <w:tc>
          <w:tcPr>
            <w:tcW w:w="5180" w:type="dxa"/>
            <w:vMerge w:val="restart"/>
            <w:vAlign w:val="bottom"/>
          </w:tcPr>
          <w:p w:rsidR="00E70C12" w:rsidRDefault="005B59C5">
            <w:pPr>
              <w:spacing w:line="240" w:lineRule="exact"/>
              <w:ind w:left="80"/>
              <w:rPr>
                <w:sz w:val="20"/>
                <w:szCs w:val="20"/>
              </w:rPr>
            </w:pPr>
            <w:r>
              <w:rPr>
                <w:rFonts w:ascii="宋体" w:eastAsia="宋体" w:hAnsi="宋体" w:cs="宋体"/>
                <w:sz w:val="21"/>
                <w:szCs w:val="21"/>
              </w:rPr>
              <w:t>※</w:t>
            </w:r>
            <w:r>
              <w:rPr>
                <w:rFonts w:ascii="宋体" w:eastAsia="宋体" w:hAnsi="宋体" w:cs="宋体"/>
                <w:sz w:val="21"/>
                <w:szCs w:val="21"/>
              </w:rPr>
              <w:t>数字经济相关者的角色（监管部门</w:t>
            </w:r>
            <w:r>
              <w:rPr>
                <w:rFonts w:ascii="宋体" w:eastAsia="宋体" w:hAnsi="宋体" w:cs="宋体"/>
                <w:sz w:val="21"/>
                <w:szCs w:val="21"/>
              </w:rPr>
              <w:t>/</w:t>
            </w:r>
            <w:r>
              <w:rPr>
                <w:rFonts w:ascii="宋体" w:eastAsia="宋体" w:hAnsi="宋体" w:cs="宋体"/>
                <w:sz w:val="21"/>
                <w:szCs w:val="21"/>
              </w:rPr>
              <w:t>消费者</w:t>
            </w:r>
            <w:r>
              <w:rPr>
                <w:rFonts w:ascii="宋体" w:eastAsia="宋体" w:hAnsi="宋体" w:cs="宋体"/>
                <w:sz w:val="21"/>
                <w:szCs w:val="21"/>
              </w:rPr>
              <w:t>/</w:t>
            </w:r>
            <w:r>
              <w:rPr>
                <w:rFonts w:ascii="宋体" w:eastAsia="宋体" w:hAnsi="宋体" w:cs="宋体"/>
                <w:sz w:val="21"/>
                <w:szCs w:val="21"/>
              </w:rPr>
              <w:t>发明操</w:t>
            </w:r>
          </w:p>
        </w:tc>
        <w:tc>
          <w:tcPr>
            <w:tcW w:w="0" w:type="dxa"/>
            <w:vAlign w:val="bottom"/>
          </w:tcPr>
          <w:p w:rsidR="00E70C12" w:rsidRDefault="00E70C12">
            <w:pPr>
              <w:rPr>
                <w:sz w:val="1"/>
                <w:szCs w:val="1"/>
              </w:rPr>
            </w:pPr>
          </w:p>
        </w:tc>
      </w:tr>
      <w:tr w:rsidR="00E70C12">
        <w:trPr>
          <w:trHeight w:val="72"/>
        </w:trPr>
        <w:tc>
          <w:tcPr>
            <w:tcW w:w="4700" w:type="dxa"/>
            <w:tcBorders>
              <w:right w:val="single" w:sz="8" w:space="0" w:color="auto"/>
            </w:tcBorders>
            <w:vAlign w:val="bottom"/>
          </w:tcPr>
          <w:p w:rsidR="00E70C12" w:rsidRDefault="00E70C12">
            <w:pPr>
              <w:rPr>
                <w:sz w:val="6"/>
                <w:szCs w:val="6"/>
              </w:rPr>
            </w:pPr>
          </w:p>
        </w:tc>
        <w:tc>
          <w:tcPr>
            <w:tcW w:w="5180" w:type="dxa"/>
            <w:vMerge/>
            <w:vAlign w:val="bottom"/>
          </w:tcPr>
          <w:p w:rsidR="00E70C12" w:rsidRDefault="00E70C12">
            <w:pPr>
              <w:rPr>
                <w:sz w:val="6"/>
                <w:szCs w:val="6"/>
              </w:rPr>
            </w:pPr>
          </w:p>
        </w:tc>
        <w:tc>
          <w:tcPr>
            <w:tcW w:w="0" w:type="dxa"/>
            <w:vAlign w:val="bottom"/>
          </w:tcPr>
          <w:p w:rsidR="00E70C12" w:rsidRDefault="00E70C12">
            <w:pPr>
              <w:rPr>
                <w:sz w:val="1"/>
                <w:szCs w:val="1"/>
              </w:rPr>
            </w:pPr>
          </w:p>
        </w:tc>
      </w:tr>
      <w:tr w:rsidR="00E70C12">
        <w:trPr>
          <w:trHeight w:val="360"/>
        </w:trPr>
        <w:tc>
          <w:tcPr>
            <w:tcW w:w="4700" w:type="dxa"/>
            <w:vMerge w:val="restart"/>
            <w:tcBorders>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数字经济下的货币一二级市场</w:t>
            </w:r>
          </w:p>
        </w:tc>
        <w:tc>
          <w:tcPr>
            <w:tcW w:w="5180" w:type="dxa"/>
            <w:vAlign w:val="bottom"/>
          </w:tcPr>
          <w:p w:rsidR="00E70C12" w:rsidRDefault="005B59C5">
            <w:pPr>
              <w:spacing w:line="240" w:lineRule="exact"/>
              <w:ind w:left="80"/>
              <w:rPr>
                <w:sz w:val="20"/>
                <w:szCs w:val="20"/>
              </w:rPr>
            </w:pPr>
            <w:r>
              <w:rPr>
                <w:rFonts w:ascii="宋体" w:eastAsia="宋体" w:hAnsi="宋体" w:cs="宋体"/>
                <w:sz w:val="21"/>
                <w:szCs w:val="21"/>
              </w:rPr>
              <w:t>作）</w:t>
            </w:r>
          </w:p>
        </w:tc>
        <w:tc>
          <w:tcPr>
            <w:tcW w:w="0" w:type="dxa"/>
            <w:vAlign w:val="bottom"/>
          </w:tcPr>
          <w:p w:rsidR="00E70C12" w:rsidRDefault="00E70C12">
            <w:pPr>
              <w:rPr>
                <w:sz w:val="1"/>
                <w:szCs w:val="1"/>
              </w:rPr>
            </w:pPr>
          </w:p>
        </w:tc>
      </w:tr>
      <w:tr w:rsidR="00E70C12">
        <w:trPr>
          <w:trHeight w:val="88"/>
        </w:trPr>
        <w:tc>
          <w:tcPr>
            <w:tcW w:w="4700" w:type="dxa"/>
            <w:vMerge/>
            <w:tcBorders>
              <w:right w:val="single" w:sz="8" w:space="0" w:color="auto"/>
            </w:tcBorders>
            <w:vAlign w:val="bottom"/>
          </w:tcPr>
          <w:p w:rsidR="00E70C12" w:rsidRDefault="00E70C12">
            <w:pPr>
              <w:rPr>
                <w:sz w:val="7"/>
                <w:szCs w:val="7"/>
              </w:rPr>
            </w:pPr>
          </w:p>
        </w:tc>
        <w:tc>
          <w:tcPr>
            <w:tcW w:w="5180" w:type="dxa"/>
            <w:vAlign w:val="bottom"/>
          </w:tcPr>
          <w:p w:rsidR="00E70C12" w:rsidRDefault="00E70C12">
            <w:pPr>
              <w:rPr>
                <w:sz w:val="7"/>
                <w:szCs w:val="7"/>
              </w:rPr>
            </w:pPr>
          </w:p>
        </w:tc>
        <w:tc>
          <w:tcPr>
            <w:tcW w:w="0" w:type="dxa"/>
            <w:vAlign w:val="bottom"/>
          </w:tcPr>
          <w:p w:rsidR="00E70C12" w:rsidRDefault="00E70C12">
            <w:pPr>
              <w:rPr>
                <w:sz w:val="1"/>
                <w:szCs w:val="1"/>
              </w:rPr>
            </w:pPr>
          </w:p>
        </w:tc>
      </w:tr>
      <w:tr w:rsidR="00E70C12">
        <w:trPr>
          <w:trHeight w:val="520"/>
        </w:trPr>
        <w:tc>
          <w:tcPr>
            <w:tcW w:w="4700" w:type="dxa"/>
            <w:tcBorders>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数字经济下的海内外资产配置和投资</w:t>
            </w:r>
          </w:p>
        </w:tc>
        <w:tc>
          <w:tcPr>
            <w:tcW w:w="5180" w:type="dxa"/>
            <w:vAlign w:val="bottom"/>
          </w:tcPr>
          <w:p w:rsidR="00E70C12" w:rsidRDefault="005B59C5">
            <w:pPr>
              <w:spacing w:line="240" w:lineRule="exact"/>
              <w:ind w:left="80"/>
              <w:rPr>
                <w:sz w:val="20"/>
                <w:szCs w:val="20"/>
              </w:rPr>
            </w:pPr>
            <w:r>
              <w:rPr>
                <w:rFonts w:ascii="宋体" w:eastAsia="宋体" w:hAnsi="宋体" w:cs="宋体"/>
                <w:sz w:val="21"/>
                <w:szCs w:val="21"/>
              </w:rPr>
              <w:t>数字金融与传统文化管理</w:t>
            </w:r>
          </w:p>
        </w:tc>
        <w:tc>
          <w:tcPr>
            <w:tcW w:w="0" w:type="dxa"/>
            <w:vAlign w:val="bottom"/>
          </w:tcPr>
          <w:p w:rsidR="00E70C12" w:rsidRDefault="00E70C12">
            <w:pPr>
              <w:rPr>
                <w:sz w:val="1"/>
                <w:szCs w:val="1"/>
              </w:rPr>
            </w:pPr>
          </w:p>
        </w:tc>
      </w:tr>
      <w:tr w:rsidR="00E70C12">
        <w:trPr>
          <w:trHeight w:val="520"/>
        </w:trPr>
        <w:tc>
          <w:tcPr>
            <w:tcW w:w="4700" w:type="dxa"/>
            <w:tcBorders>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保险与数字金融战略机遇</w:t>
            </w:r>
          </w:p>
        </w:tc>
        <w:tc>
          <w:tcPr>
            <w:tcW w:w="5180" w:type="dxa"/>
            <w:vAlign w:val="bottom"/>
          </w:tcPr>
          <w:p w:rsidR="00E70C12" w:rsidRDefault="00E70C12">
            <w:pPr>
              <w:rPr>
                <w:sz w:val="24"/>
                <w:szCs w:val="24"/>
              </w:rPr>
            </w:pPr>
          </w:p>
        </w:tc>
        <w:tc>
          <w:tcPr>
            <w:tcW w:w="0" w:type="dxa"/>
            <w:vAlign w:val="bottom"/>
          </w:tcPr>
          <w:p w:rsidR="00E70C12" w:rsidRDefault="00E70C12">
            <w:pPr>
              <w:rPr>
                <w:sz w:val="1"/>
                <w:szCs w:val="1"/>
              </w:rPr>
            </w:pPr>
          </w:p>
        </w:tc>
      </w:tr>
      <w:tr w:rsidR="00E70C12">
        <w:trPr>
          <w:trHeight w:val="236"/>
        </w:trPr>
        <w:tc>
          <w:tcPr>
            <w:tcW w:w="4700" w:type="dxa"/>
            <w:tcBorders>
              <w:bottom w:val="single" w:sz="8" w:space="0" w:color="auto"/>
              <w:right w:val="single" w:sz="8" w:space="0" w:color="auto"/>
            </w:tcBorders>
            <w:vAlign w:val="bottom"/>
          </w:tcPr>
          <w:p w:rsidR="00E70C12" w:rsidRDefault="00E70C12">
            <w:pPr>
              <w:rPr>
                <w:sz w:val="20"/>
                <w:szCs w:val="20"/>
              </w:rPr>
            </w:pPr>
          </w:p>
        </w:tc>
        <w:tc>
          <w:tcPr>
            <w:tcW w:w="5180" w:type="dxa"/>
            <w:tcBorders>
              <w:bottom w:val="single" w:sz="8" w:space="0" w:color="auto"/>
            </w:tcBorders>
            <w:vAlign w:val="bottom"/>
          </w:tcPr>
          <w:p w:rsidR="00E70C12" w:rsidRDefault="00E70C12">
            <w:pPr>
              <w:rPr>
                <w:sz w:val="20"/>
                <w:szCs w:val="20"/>
              </w:rPr>
            </w:pPr>
          </w:p>
        </w:tc>
        <w:tc>
          <w:tcPr>
            <w:tcW w:w="0" w:type="dxa"/>
            <w:vAlign w:val="bottom"/>
          </w:tcPr>
          <w:p w:rsidR="00E70C12" w:rsidRDefault="00E70C12">
            <w:pPr>
              <w:rPr>
                <w:sz w:val="1"/>
                <w:szCs w:val="1"/>
              </w:rPr>
            </w:pPr>
          </w:p>
        </w:tc>
      </w:tr>
    </w:tbl>
    <w:p w:rsidR="00E70C12" w:rsidRDefault="00E70C12">
      <w:pPr>
        <w:spacing w:line="7" w:lineRule="exact"/>
        <w:rPr>
          <w:sz w:val="20"/>
          <w:szCs w:val="20"/>
        </w:rPr>
      </w:pPr>
    </w:p>
    <w:p w:rsidR="00E70C12" w:rsidRDefault="005B59C5">
      <w:pPr>
        <w:spacing w:line="320" w:lineRule="exact"/>
        <w:jc w:val="center"/>
        <w:rPr>
          <w:sz w:val="20"/>
          <w:szCs w:val="20"/>
        </w:rPr>
      </w:pPr>
      <w:r>
        <w:rPr>
          <w:rFonts w:ascii="宋体" w:eastAsia="宋体" w:hAnsi="宋体" w:cs="宋体"/>
          <w:b/>
          <w:bCs/>
          <w:color w:val="FFFFFF"/>
          <w:sz w:val="28"/>
          <w:szCs w:val="28"/>
        </w:rPr>
        <w:t>第四模块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新兴产业投资战略</w:t>
      </w:r>
    </w:p>
    <w:p w:rsidR="00E70C12" w:rsidRDefault="00E70C12">
      <w:pPr>
        <w:spacing w:line="30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320"/>
        <w:gridCol w:w="3500"/>
      </w:tblGrid>
      <w:tr w:rsidR="00E70C12">
        <w:trPr>
          <w:trHeight w:val="240"/>
        </w:trPr>
        <w:tc>
          <w:tcPr>
            <w:tcW w:w="4320" w:type="dxa"/>
            <w:vAlign w:val="bottom"/>
          </w:tcPr>
          <w:p w:rsidR="00E70C12" w:rsidRDefault="005B59C5">
            <w:pPr>
              <w:spacing w:line="240" w:lineRule="exact"/>
              <w:rPr>
                <w:sz w:val="20"/>
                <w:szCs w:val="20"/>
              </w:rPr>
            </w:pPr>
            <w:r>
              <w:rPr>
                <w:rFonts w:ascii="宋体" w:eastAsia="宋体" w:hAnsi="宋体" w:cs="宋体"/>
                <w:b/>
                <w:bCs/>
                <w:sz w:val="21"/>
                <w:szCs w:val="21"/>
              </w:rPr>
              <w:t>高端制造</w:t>
            </w:r>
          </w:p>
        </w:tc>
        <w:tc>
          <w:tcPr>
            <w:tcW w:w="3500" w:type="dxa"/>
            <w:vAlign w:val="bottom"/>
          </w:tcPr>
          <w:p w:rsidR="00E70C12" w:rsidRDefault="005B59C5">
            <w:pPr>
              <w:spacing w:line="240" w:lineRule="exact"/>
              <w:ind w:left="340"/>
              <w:rPr>
                <w:sz w:val="20"/>
                <w:szCs w:val="20"/>
              </w:rPr>
            </w:pPr>
            <w:r>
              <w:rPr>
                <w:rFonts w:ascii="宋体" w:eastAsia="宋体" w:hAnsi="宋体" w:cs="宋体"/>
                <w:b/>
                <w:bCs/>
                <w:sz w:val="21"/>
                <w:szCs w:val="21"/>
              </w:rPr>
              <w:t>大数据产业投资</w:t>
            </w:r>
          </w:p>
        </w:tc>
      </w:tr>
      <w:tr w:rsidR="00E70C12">
        <w:trPr>
          <w:trHeight w:val="540"/>
        </w:trPr>
        <w:tc>
          <w:tcPr>
            <w:tcW w:w="432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中国制造</w:t>
            </w:r>
            <w:r>
              <w:rPr>
                <w:rFonts w:ascii="宋体" w:eastAsia="宋体" w:hAnsi="宋体" w:cs="宋体"/>
                <w:sz w:val="21"/>
                <w:szCs w:val="21"/>
              </w:rPr>
              <w:t xml:space="preserve"> 2025 </w:t>
            </w:r>
            <w:r>
              <w:rPr>
                <w:rFonts w:ascii="宋体" w:eastAsia="宋体" w:hAnsi="宋体" w:cs="宋体"/>
                <w:sz w:val="21"/>
                <w:szCs w:val="21"/>
              </w:rPr>
              <w:t>战略解析</w:t>
            </w:r>
          </w:p>
        </w:tc>
        <w:tc>
          <w:tcPr>
            <w:tcW w:w="3500" w:type="dxa"/>
            <w:vAlign w:val="bottom"/>
          </w:tcPr>
          <w:p w:rsidR="00E70C12" w:rsidRDefault="005B59C5">
            <w:pPr>
              <w:spacing w:line="240" w:lineRule="exact"/>
              <w:ind w:left="340"/>
              <w:rPr>
                <w:sz w:val="20"/>
                <w:szCs w:val="20"/>
              </w:rPr>
            </w:pPr>
            <w:r>
              <w:rPr>
                <w:rFonts w:ascii="宋体" w:eastAsia="宋体" w:hAnsi="宋体" w:cs="宋体"/>
                <w:w w:val="99"/>
                <w:sz w:val="21"/>
                <w:szCs w:val="21"/>
              </w:rPr>
              <w:t>※</w:t>
            </w:r>
            <w:r>
              <w:rPr>
                <w:rFonts w:ascii="宋体" w:eastAsia="宋体" w:hAnsi="宋体" w:cs="宋体"/>
                <w:w w:val="99"/>
                <w:sz w:val="21"/>
                <w:szCs w:val="21"/>
              </w:rPr>
              <w:t>大数据与互联网时代的营销创新</w:t>
            </w:r>
          </w:p>
        </w:tc>
      </w:tr>
      <w:tr w:rsidR="00E70C12">
        <w:trPr>
          <w:trHeight w:val="540"/>
        </w:trPr>
        <w:tc>
          <w:tcPr>
            <w:tcW w:w="432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中国高端制造的发展现状与弯道超车案例</w:t>
            </w:r>
          </w:p>
        </w:tc>
        <w:tc>
          <w:tcPr>
            <w:tcW w:w="3500" w:type="dxa"/>
            <w:vAlign w:val="bottom"/>
          </w:tcPr>
          <w:p w:rsidR="00E70C12" w:rsidRDefault="005B59C5">
            <w:pPr>
              <w:spacing w:line="240" w:lineRule="exact"/>
              <w:ind w:left="340"/>
              <w:rPr>
                <w:sz w:val="20"/>
                <w:szCs w:val="20"/>
              </w:rPr>
            </w:pPr>
            <w:r>
              <w:rPr>
                <w:rFonts w:ascii="宋体" w:eastAsia="宋体" w:hAnsi="宋体" w:cs="宋体"/>
                <w:sz w:val="21"/>
                <w:szCs w:val="21"/>
              </w:rPr>
              <w:t>※</w:t>
            </w:r>
            <w:r>
              <w:rPr>
                <w:rFonts w:ascii="宋体" w:eastAsia="宋体" w:hAnsi="宋体" w:cs="宋体"/>
                <w:sz w:val="21"/>
                <w:szCs w:val="21"/>
              </w:rPr>
              <w:t>云计算与工业互联网</w:t>
            </w:r>
          </w:p>
        </w:tc>
      </w:tr>
      <w:tr w:rsidR="00E70C12">
        <w:trPr>
          <w:trHeight w:val="540"/>
        </w:trPr>
        <w:tc>
          <w:tcPr>
            <w:tcW w:w="432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中国传统制造业升级的路径与成功案例</w:t>
            </w:r>
          </w:p>
        </w:tc>
        <w:tc>
          <w:tcPr>
            <w:tcW w:w="3500" w:type="dxa"/>
            <w:vAlign w:val="bottom"/>
          </w:tcPr>
          <w:p w:rsidR="00E70C12" w:rsidRDefault="005B59C5">
            <w:pPr>
              <w:spacing w:line="240" w:lineRule="exact"/>
              <w:ind w:left="340"/>
              <w:rPr>
                <w:sz w:val="20"/>
                <w:szCs w:val="20"/>
              </w:rPr>
            </w:pPr>
            <w:r>
              <w:rPr>
                <w:rFonts w:ascii="宋体" w:eastAsia="宋体" w:hAnsi="宋体" w:cs="宋体"/>
                <w:sz w:val="21"/>
                <w:szCs w:val="21"/>
              </w:rPr>
              <w:t>※</w:t>
            </w:r>
            <w:r>
              <w:rPr>
                <w:rFonts w:ascii="宋体" w:eastAsia="宋体" w:hAnsi="宋体" w:cs="宋体"/>
                <w:sz w:val="21"/>
                <w:szCs w:val="21"/>
              </w:rPr>
              <w:t>大数据与云计算的投资机会</w:t>
            </w:r>
          </w:p>
        </w:tc>
      </w:tr>
      <w:tr w:rsidR="00E70C12">
        <w:trPr>
          <w:trHeight w:val="540"/>
        </w:trPr>
        <w:tc>
          <w:tcPr>
            <w:tcW w:w="432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中国高端制造细分行业的投资机会</w:t>
            </w:r>
          </w:p>
        </w:tc>
        <w:tc>
          <w:tcPr>
            <w:tcW w:w="3500" w:type="dxa"/>
            <w:vAlign w:val="bottom"/>
          </w:tcPr>
          <w:p w:rsidR="00E70C12" w:rsidRDefault="005B59C5">
            <w:pPr>
              <w:spacing w:line="240" w:lineRule="exact"/>
              <w:ind w:left="340"/>
              <w:rPr>
                <w:sz w:val="20"/>
                <w:szCs w:val="20"/>
              </w:rPr>
            </w:pPr>
            <w:r>
              <w:rPr>
                <w:rFonts w:ascii="宋体" w:eastAsia="宋体" w:hAnsi="宋体" w:cs="宋体"/>
                <w:sz w:val="21"/>
                <w:szCs w:val="21"/>
              </w:rPr>
              <w:t>※</w:t>
            </w:r>
            <w:r>
              <w:rPr>
                <w:rFonts w:ascii="宋体" w:eastAsia="宋体" w:hAnsi="宋体" w:cs="宋体"/>
                <w:sz w:val="21"/>
                <w:szCs w:val="21"/>
              </w:rPr>
              <w:t>量子通讯与量子计算</w:t>
            </w:r>
          </w:p>
        </w:tc>
      </w:tr>
      <w:tr w:rsidR="00E70C12">
        <w:trPr>
          <w:trHeight w:val="540"/>
        </w:trPr>
        <w:tc>
          <w:tcPr>
            <w:tcW w:w="4320" w:type="dxa"/>
            <w:vAlign w:val="bottom"/>
          </w:tcPr>
          <w:p w:rsidR="00E70C12" w:rsidRDefault="00E70C12">
            <w:pPr>
              <w:rPr>
                <w:sz w:val="24"/>
                <w:szCs w:val="24"/>
              </w:rPr>
            </w:pPr>
          </w:p>
        </w:tc>
        <w:tc>
          <w:tcPr>
            <w:tcW w:w="3500" w:type="dxa"/>
            <w:vAlign w:val="bottom"/>
          </w:tcPr>
          <w:p w:rsidR="00E70C12" w:rsidRDefault="005B59C5">
            <w:pPr>
              <w:spacing w:line="240" w:lineRule="exact"/>
              <w:ind w:left="340"/>
              <w:rPr>
                <w:sz w:val="20"/>
                <w:szCs w:val="20"/>
              </w:rPr>
            </w:pPr>
            <w:r>
              <w:rPr>
                <w:rFonts w:ascii="宋体" w:eastAsia="宋体" w:hAnsi="宋体" w:cs="宋体"/>
                <w:sz w:val="21"/>
                <w:szCs w:val="21"/>
              </w:rPr>
              <w:t>※</w:t>
            </w:r>
            <w:r>
              <w:rPr>
                <w:rFonts w:ascii="宋体" w:eastAsia="宋体" w:hAnsi="宋体" w:cs="宋体"/>
                <w:sz w:val="21"/>
                <w:szCs w:val="21"/>
              </w:rPr>
              <w:t>智能硬件与集成电路</w:t>
            </w:r>
          </w:p>
        </w:tc>
      </w:tr>
    </w:tbl>
    <w:p w:rsidR="00E70C12" w:rsidRDefault="00E70C12">
      <w:pPr>
        <w:spacing w:line="32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900"/>
        <w:gridCol w:w="3700"/>
      </w:tblGrid>
      <w:tr w:rsidR="00E70C12">
        <w:trPr>
          <w:trHeight w:val="240"/>
        </w:trPr>
        <w:tc>
          <w:tcPr>
            <w:tcW w:w="3900" w:type="dxa"/>
            <w:vAlign w:val="bottom"/>
          </w:tcPr>
          <w:p w:rsidR="00E70C12" w:rsidRDefault="005B59C5">
            <w:pPr>
              <w:spacing w:line="240" w:lineRule="exact"/>
              <w:rPr>
                <w:sz w:val="20"/>
                <w:szCs w:val="20"/>
              </w:rPr>
            </w:pPr>
            <w:r>
              <w:rPr>
                <w:rFonts w:ascii="宋体" w:eastAsia="宋体" w:hAnsi="宋体" w:cs="宋体"/>
                <w:b/>
                <w:bCs/>
                <w:sz w:val="21"/>
                <w:szCs w:val="21"/>
              </w:rPr>
              <w:t>智能投资</w:t>
            </w:r>
          </w:p>
        </w:tc>
        <w:tc>
          <w:tcPr>
            <w:tcW w:w="3700" w:type="dxa"/>
            <w:vAlign w:val="bottom"/>
          </w:tcPr>
          <w:p w:rsidR="00E70C12" w:rsidRDefault="005B59C5">
            <w:pPr>
              <w:spacing w:line="240" w:lineRule="exact"/>
              <w:ind w:left="760"/>
              <w:rPr>
                <w:sz w:val="20"/>
                <w:szCs w:val="20"/>
              </w:rPr>
            </w:pPr>
            <w:r>
              <w:rPr>
                <w:rFonts w:ascii="宋体" w:eastAsia="宋体" w:hAnsi="宋体" w:cs="宋体"/>
                <w:b/>
                <w:bCs/>
                <w:sz w:val="21"/>
                <w:szCs w:val="21"/>
              </w:rPr>
              <w:t>医疗生物产业</w:t>
            </w:r>
          </w:p>
        </w:tc>
      </w:tr>
      <w:tr w:rsidR="00E70C12">
        <w:trPr>
          <w:trHeight w:val="560"/>
        </w:trPr>
        <w:tc>
          <w:tcPr>
            <w:tcW w:w="390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多样化纳米材料与多功能碳材料</w:t>
            </w:r>
          </w:p>
        </w:tc>
        <w:tc>
          <w:tcPr>
            <w:tcW w:w="3700" w:type="dxa"/>
            <w:vAlign w:val="bottom"/>
          </w:tcPr>
          <w:p w:rsidR="00E70C12" w:rsidRDefault="005B59C5">
            <w:pPr>
              <w:spacing w:line="240" w:lineRule="exact"/>
              <w:ind w:left="760"/>
              <w:rPr>
                <w:sz w:val="20"/>
                <w:szCs w:val="20"/>
              </w:rPr>
            </w:pPr>
            <w:r>
              <w:rPr>
                <w:rFonts w:ascii="宋体" w:eastAsia="宋体" w:hAnsi="宋体" w:cs="宋体"/>
                <w:sz w:val="21"/>
                <w:szCs w:val="21"/>
              </w:rPr>
              <w:t>※</w:t>
            </w:r>
            <w:r>
              <w:rPr>
                <w:rFonts w:ascii="宋体" w:eastAsia="宋体" w:hAnsi="宋体" w:cs="宋体"/>
                <w:sz w:val="21"/>
                <w:szCs w:val="21"/>
              </w:rPr>
              <w:t>生物产业发展规划分析</w:t>
            </w:r>
          </w:p>
        </w:tc>
      </w:tr>
      <w:tr w:rsidR="00E70C12">
        <w:trPr>
          <w:trHeight w:val="560"/>
        </w:trPr>
        <w:tc>
          <w:tcPr>
            <w:tcW w:w="390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光催化与环保材料</w:t>
            </w:r>
          </w:p>
        </w:tc>
        <w:tc>
          <w:tcPr>
            <w:tcW w:w="3700" w:type="dxa"/>
            <w:vAlign w:val="bottom"/>
          </w:tcPr>
          <w:p w:rsidR="00E70C12" w:rsidRDefault="005B59C5">
            <w:pPr>
              <w:spacing w:line="240" w:lineRule="exact"/>
              <w:ind w:left="760"/>
              <w:rPr>
                <w:sz w:val="20"/>
                <w:szCs w:val="20"/>
              </w:rPr>
            </w:pPr>
            <w:r>
              <w:rPr>
                <w:rFonts w:ascii="宋体" w:eastAsia="宋体" w:hAnsi="宋体" w:cs="宋体"/>
                <w:sz w:val="21"/>
                <w:szCs w:val="21"/>
              </w:rPr>
              <w:t>※</w:t>
            </w:r>
            <w:r>
              <w:rPr>
                <w:rFonts w:ascii="宋体" w:eastAsia="宋体" w:hAnsi="宋体" w:cs="宋体"/>
                <w:sz w:val="21"/>
                <w:szCs w:val="21"/>
              </w:rPr>
              <w:t>中药标准化行动计划分析</w:t>
            </w:r>
          </w:p>
        </w:tc>
      </w:tr>
      <w:tr w:rsidR="00E70C12">
        <w:trPr>
          <w:trHeight w:val="560"/>
        </w:trPr>
        <w:tc>
          <w:tcPr>
            <w:tcW w:w="3900" w:type="dxa"/>
            <w:vAlign w:val="bottom"/>
          </w:tcPr>
          <w:p w:rsidR="00E70C12" w:rsidRDefault="005B59C5">
            <w:pPr>
              <w:spacing w:line="240" w:lineRule="exact"/>
              <w:rPr>
                <w:sz w:val="20"/>
                <w:szCs w:val="20"/>
              </w:rPr>
            </w:pPr>
            <w:r>
              <w:rPr>
                <w:rFonts w:ascii="宋体" w:eastAsia="宋体" w:hAnsi="宋体" w:cs="宋体"/>
                <w:sz w:val="21"/>
                <w:szCs w:val="21"/>
              </w:rPr>
              <w:t xml:space="preserve">※3D </w:t>
            </w:r>
            <w:r>
              <w:rPr>
                <w:rFonts w:ascii="宋体" w:eastAsia="宋体" w:hAnsi="宋体" w:cs="宋体"/>
                <w:sz w:val="21"/>
                <w:szCs w:val="21"/>
              </w:rPr>
              <w:t>打印与可记忆材料</w:t>
            </w:r>
          </w:p>
        </w:tc>
        <w:tc>
          <w:tcPr>
            <w:tcW w:w="3700" w:type="dxa"/>
            <w:vAlign w:val="bottom"/>
          </w:tcPr>
          <w:p w:rsidR="00E70C12" w:rsidRDefault="005B59C5">
            <w:pPr>
              <w:spacing w:line="240" w:lineRule="exact"/>
              <w:ind w:left="760"/>
              <w:rPr>
                <w:sz w:val="20"/>
                <w:szCs w:val="20"/>
              </w:rPr>
            </w:pPr>
            <w:r>
              <w:rPr>
                <w:rFonts w:ascii="宋体" w:eastAsia="宋体" w:hAnsi="宋体" w:cs="宋体"/>
                <w:sz w:val="21"/>
                <w:szCs w:val="21"/>
              </w:rPr>
              <w:t>※</w:t>
            </w:r>
            <w:r>
              <w:rPr>
                <w:rFonts w:ascii="宋体" w:eastAsia="宋体" w:hAnsi="宋体" w:cs="宋体"/>
                <w:sz w:val="21"/>
                <w:szCs w:val="21"/>
              </w:rPr>
              <w:t>医院战略投资决策</w:t>
            </w:r>
          </w:p>
        </w:tc>
      </w:tr>
      <w:tr w:rsidR="00E70C12">
        <w:trPr>
          <w:trHeight w:val="560"/>
        </w:trPr>
        <w:tc>
          <w:tcPr>
            <w:tcW w:w="390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锂电池与动能储藏</w:t>
            </w:r>
          </w:p>
        </w:tc>
        <w:tc>
          <w:tcPr>
            <w:tcW w:w="3700" w:type="dxa"/>
            <w:vAlign w:val="bottom"/>
          </w:tcPr>
          <w:p w:rsidR="00E70C12" w:rsidRDefault="005B59C5">
            <w:pPr>
              <w:spacing w:line="240" w:lineRule="exact"/>
              <w:ind w:left="760"/>
              <w:rPr>
                <w:sz w:val="20"/>
                <w:szCs w:val="20"/>
              </w:rPr>
            </w:pPr>
            <w:r>
              <w:rPr>
                <w:rFonts w:ascii="宋体" w:eastAsia="宋体" w:hAnsi="宋体" w:cs="宋体"/>
                <w:w w:val="99"/>
                <w:sz w:val="21"/>
                <w:szCs w:val="21"/>
              </w:rPr>
              <w:t>※</w:t>
            </w:r>
            <w:r>
              <w:rPr>
                <w:rFonts w:ascii="宋体" w:eastAsia="宋体" w:hAnsi="宋体" w:cs="宋体"/>
                <w:w w:val="99"/>
                <w:sz w:val="21"/>
                <w:szCs w:val="21"/>
              </w:rPr>
              <w:t>医院融资决策分析与融资模式</w:t>
            </w:r>
          </w:p>
        </w:tc>
      </w:tr>
      <w:tr w:rsidR="00E70C12">
        <w:trPr>
          <w:trHeight w:val="560"/>
        </w:trPr>
        <w:tc>
          <w:tcPr>
            <w:tcW w:w="3900" w:type="dxa"/>
            <w:vAlign w:val="bottom"/>
          </w:tcPr>
          <w:p w:rsidR="00E70C12" w:rsidRDefault="005B59C5">
            <w:pPr>
              <w:spacing w:line="240" w:lineRule="exact"/>
              <w:rPr>
                <w:sz w:val="20"/>
                <w:szCs w:val="20"/>
              </w:rPr>
            </w:pPr>
            <w:r>
              <w:rPr>
                <w:rFonts w:ascii="宋体" w:eastAsia="宋体" w:hAnsi="宋体" w:cs="宋体"/>
                <w:sz w:val="21"/>
                <w:szCs w:val="21"/>
              </w:rPr>
              <w:t>※</w:t>
            </w:r>
            <w:r>
              <w:rPr>
                <w:rFonts w:ascii="宋体" w:eastAsia="宋体" w:hAnsi="宋体" w:cs="宋体"/>
                <w:sz w:val="21"/>
                <w:szCs w:val="21"/>
              </w:rPr>
              <w:t>车联网与智能交通</w:t>
            </w:r>
          </w:p>
        </w:tc>
        <w:tc>
          <w:tcPr>
            <w:tcW w:w="3700" w:type="dxa"/>
            <w:vAlign w:val="bottom"/>
          </w:tcPr>
          <w:p w:rsidR="00E70C12" w:rsidRDefault="005B59C5">
            <w:pPr>
              <w:spacing w:line="240" w:lineRule="exact"/>
              <w:ind w:left="760"/>
              <w:rPr>
                <w:sz w:val="20"/>
                <w:szCs w:val="20"/>
              </w:rPr>
            </w:pPr>
            <w:r>
              <w:rPr>
                <w:rFonts w:ascii="宋体" w:eastAsia="宋体" w:hAnsi="宋体" w:cs="宋体"/>
                <w:w w:val="99"/>
                <w:sz w:val="21"/>
                <w:szCs w:val="21"/>
              </w:rPr>
              <w:t>※</w:t>
            </w:r>
            <w:r>
              <w:rPr>
                <w:rFonts w:ascii="宋体" w:eastAsia="宋体" w:hAnsi="宋体" w:cs="宋体"/>
                <w:w w:val="99"/>
                <w:sz w:val="21"/>
                <w:szCs w:val="21"/>
              </w:rPr>
              <w:t>医院法人治理结构与股权设计</w:t>
            </w:r>
          </w:p>
        </w:tc>
      </w:tr>
    </w:tbl>
    <w:p w:rsidR="00E70C12" w:rsidRDefault="005B59C5">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24130</wp:posOffset>
                </wp:positionH>
                <wp:positionV relativeFrom="paragraph">
                  <wp:posOffset>877570</wp:posOffset>
                </wp:positionV>
                <wp:extent cx="6232525" cy="3556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2525" cy="355600"/>
                        </a:xfrm>
                        <a:prstGeom prst="rect">
                          <a:avLst/>
                        </a:prstGeom>
                        <a:solidFill>
                          <a:srgbClr val="FF0000"/>
                        </a:solidFill>
                      </wps:spPr>
                      <wps:bodyPr/>
                    </wps:wsp>
                  </a:graphicData>
                </a:graphic>
              </wp:anchor>
            </w:drawing>
          </mc:Choice>
          <mc:Fallback>
            <w:pict>
              <v:rect id="Shape 4" o:spid="_x0000_s1029" style="position:absolute;margin-left:1.9pt;margin-top:69.1pt;width:490.75pt;height:2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0000" stroked="f"/>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20955</wp:posOffset>
                </wp:positionH>
                <wp:positionV relativeFrom="paragraph">
                  <wp:posOffset>871220</wp:posOffset>
                </wp:positionV>
                <wp:extent cx="0" cy="17970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68.6pt" to="1.65pt,210.1pt" o:allowincell="f" strokecolor="#000000" strokeweight="0.5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6259830</wp:posOffset>
                </wp:positionH>
                <wp:positionV relativeFrom="paragraph">
                  <wp:posOffset>871220</wp:posOffset>
                </wp:positionV>
                <wp:extent cx="0" cy="17970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70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2.9pt,68.6pt" to="492.9pt,210.1pt" o:allowincell="f" strokecolor="#000000" strokeweight="0.5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17780</wp:posOffset>
                </wp:positionH>
                <wp:positionV relativeFrom="paragraph">
                  <wp:posOffset>874395</wp:posOffset>
                </wp:positionV>
                <wp:extent cx="62452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68.85pt" to="493.15pt,68.85pt" o:allowincell="f" strokecolor="#000000" strokeweight="0.5pt"/>
            </w:pict>
          </mc:Fallback>
        </mc:AlternateContent>
      </w:r>
    </w:p>
    <w:p w:rsidR="00E70C12" w:rsidRDefault="00E70C12">
      <w:pPr>
        <w:spacing w:line="200" w:lineRule="exact"/>
        <w:rPr>
          <w:sz w:val="20"/>
          <w:szCs w:val="20"/>
        </w:rPr>
      </w:pPr>
    </w:p>
    <w:p w:rsidR="00E70C12" w:rsidRDefault="00E70C12">
      <w:pPr>
        <w:spacing w:line="200" w:lineRule="exact"/>
        <w:rPr>
          <w:sz w:val="20"/>
          <w:szCs w:val="20"/>
        </w:rPr>
      </w:pPr>
    </w:p>
    <w:p w:rsidR="00E70C12" w:rsidRDefault="00E70C12">
      <w:pPr>
        <w:spacing w:line="200" w:lineRule="exact"/>
        <w:rPr>
          <w:sz w:val="20"/>
          <w:szCs w:val="20"/>
        </w:rPr>
      </w:pPr>
    </w:p>
    <w:p w:rsidR="00E70C12" w:rsidRDefault="00E70C12">
      <w:pPr>
        <w:spacing w:line="200" w:lineRule="exact"/>
        <w:rPr>
          <w:sz w:val="20"/>
          <w:szCs w:val="20"/>
        </w:rPr>
      </w:pPr>
    </w:p>
    <w:p w:rsidR="00E70C12" w:rsidRDefault="00E70C12">
      <w:pPr>
        <w:spacing w:line="200" w:lineRule="exact"/>
        <w:rPr>
          <w:sz w:val="20"/>
          <w:szCs w:val="20"/>
        </w:rPr>
      </w:pPr>
    </w:p>
    <w:p w:rsidR="00E70C12" w:rsidRDefault="00E70C12">
      <w:pPr>
        <w:spacing w:line="369" w:lineRule="exact"/>
        <w:rPr>
          <w:sz w:val="20"/>
          <w:szCs w:val="20"/>
        </w:rPr>
      </w:pPr>
    </w:p>
    <w:p w:rsidR="00E70C12" w:rsidRDefault="005B59C5">
      <w:pPr>
        <w:spacing w:line="320" w:lineRule="exact"/>
        <w:ind w:right="-19"/>
        <w:jc w:val="center"/>
        <w:rPr>
          <w:sz w:val="20"/>
          <w:szCs w:val="20"/>
        </w:rPr>
      </w:pPr>
      <w:r>
        <w:rPr>
          <w:rFonts w:ascii="宋体" w:eastAsia="宋体" w:hAnsi="宋体" w:cs="宋体"/>
          <w:b/>
          <w:bCs/>
          <w:color w:val="FFFFFF"/>
          <w:sz w:val="28"/>
          <w:szCs w:val="28"/>
        </w:rPr>
        <w:t>第五模块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私募股权投融资</w:t>
      </w:r>
    </w:p>
    <w:p w:rsidR="00E70C12" w:rsidRDefault="005B59C5">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3068955</wp:posOffset>
                </wp:positionH>
                <wp:positionV relativeFrom="paragraph">
                  <wp:posOffset>148590</wp:posOffset>
                </wp:positionV>
                <wp:extent cx="0" cy="14351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351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1.65pt,11.7pt" to="241.65pt,124.7pt" o:allowincell="f" strokecolor="#000000" strokeweight="0.5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17780</wp:posOffset>
                </wp:positionH>
                <wp:positionV relativeFrom="paragraph">
                  <wp:posOffset>151765</wp:posOffset>
                </wp:positionV>
                <wp:extent cx="62452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1.95pt" to="493.15pt,11.95pt" o:allowincell="f" strokecolor="#000000" strokeweight="0.5pt"/>
            </w:pict>
          </mc:Fallback>
        </mc:AlternateContent>
      </w:r>
    </w:p>
    <w:p w:rsidR="00E70C12" w:rsidRDefault="00E70C12">
      <w:pPr>
        <w:spacing w:line="300" w:lineRule="exact"/>
        <w:rPr>
          <w:sz w:val="20"/>
          <w:szCs w:val="20"/>
        </w:rPr>
      </w:pPr>
    </w:p>
    <w:p w:rsidR="00E70C12" w:rsidRDefault="005B59C5">
      <w:pPr>
        <w:tabs>
          <w:tab w:val="left" w:pos="4920"/>
        </w:tabs>
        <w:spacing w:line="240" w:lineRule="exact"/>
        <w:ind w:left="140"/>
        <w:rPr>
          <w:sz w:val="20"/>
          <w:szCs w:val="20"/>
        </w:rPr>
      </w:pPr>
      <w:r>
        <w:rPr>
          <w:rFonts w:ascii="宋体" w:eastAsia="宋体" w:hAnsi="宋体" w:cs="宋体"/>
          <w:b/>
          <w:bCs/>
          <w:sz w:val="21"/>
          <w:szCs w:val="21"/>
        </w:rPr>
        <w:t>私募股权投资与政策环境</w:t>
      </w:r>
      <w:r>
        <w:rPr>
          <w:sz w:val="20"/>
          <w:szCs w:val="20"/>
        </w:rPr>
        <w:tab/>
      </w:r>
      <w:r>
        <w:rPr>
          <w:rFonts w:ascii="宋体" w:eastAsia="宋体" w:hAnsi="宋体" w:cs="宋体"/>
          <w:b/>
          <w:bCs/>
          <w:sz w:val="21"/>
          <w:szCs w:val="21"/>
        </w:rPr>
        <w:t>私募基金组织形式</w:t>
      </w:r>
    </w:p>
    <w:p w:rsidR="00E70C12" w:rsidRDefault="00E70C12">
      <w:pPr>
        <w:spacing w:line="320" w:lineRule="exact"/>
        <w:rPr>
          <w:sz w:val="20"/>
          <w:szCs w:val="20"/>
        </w:rPr>
      </w:pPr>
    </w:p>
    <w:p w:rsidR="00E70C12" w:rsidRDefault="005B59C5">
      <w:pPr>
        <w:tabs>
          <w:tab w:val="left" w:pos="4920"/>
        </w:tabs>
        <w:spacing w:line="240" w:lineRule="exact"/>
        <w:ind w:left="140"/>
        <w:rPr>
          <w:sz w:val="20"/>
          <w:szCs w:val="20"/>
        </w:rPr>
      </w:pPr>
      <w:r>
        <w:rPr>
          <w:rFonts w:ascii="宋体" w:eastAsia="宋体" w:hAnsi="宋体" w:cs="宋体"/>
          <w:sz w:val="21"/>
          <w:szCs w:val="21"/>
        </w:rPr>
        <w:t>※</w:t>
      </w:r>
      <w:r>
        <w:rPr>
          <w:rFonts w:ascii="宋体" w:eastAsia="宋体" w:hAnsi="宋体" w:cs="宋体"/>
          <w:sz w:val="21"/>
          <w:szCs w:val="21"/>
        </w:rPr>
        <w:t>全球经济政策和私募股权投资行业分析</w:t>
      </w:r>
      <w:r>
        <w:rPr>
          <w:sz w:val="20"/>
          <w:szCs w:val="20"/>
        </w:rPr>
        <w:tab/>
      </w:r>
      <w:r>
        <w:rPr>
          <w:rFonts w:ascii="宋体" w:eastAsia="宋体" w:hAnsi="宋体" w:cs="宋体"/>
          <w:sz w:val="21"/>
          <w:szCs w:val="21"/>
        </w:rPr>
        <w:t>※</w:t>
      </w:r>
      <w:r>
        <w:rPr>
          <w:rFonts w:ascii="宋体" w:eastAsia="宋体" w:hAnsi="宋体" w:cs="宋体"/>
          <w:sz w:val="21"/>
          <w:szCs w:val="21"/>
        </w:rPr>
        <w:t>私募股权投资基金概述</w:t>
      </w:r>
    </w:p>
    <w:p w:rsidR="00E70C12" w:rsidRDefault="00E70C12">
      <w:pPr>
        <w:spacing w:line="320" w:lineRule="exact"/>
        <w:rPr>
          <w:sz w:val="20"/>
          <w:szCs w:val="20"/>
        </w:rPr>
      </w:pPr>
    </w:p>
    <w:p w:rsidR="00E70C12" w:rsidRDefault="005B59C5">
      <w:pPr>
        <w:tabs>
          <w:tab w:val="left" w:pos="4920"/>
        </w:tabs>
        <w:spacing w:line="240" w:lineRule="exact"/>
        <w:ind w:left="140"/>
        <w:rPr>
          <w:sz w:val="20"/>
          <w:szCs w:val="20"/>
        </w:rPr>
      </w:pPr>
      <w:r>
        <w:rPr>
          <w:rFonts w:ascii="宋体" w:eastAsia="宋体" w:hAnsi="宋体" w:cs="宋体"/>
          <w:sz w:val="21"/>
          <w:szCs w:val="21"/>
        </w:rPr>
        <w:t>※</w:t>
      </w:r>
      <w:r>
        <w:rPr>
          <w:rFonts w:ascii="宋体" w:eastAsia="宋体" w:hAnsi="宋体" w:cs="宋体"/>
          <w:sz w:val="21"/>
          <w:szCs w:val="21"/>
        </w:rPr>
        <w:t>经济、金融形势对私募投资的影响</w:t>
      </w:r>
      <w:r>
        <w:rPr>
          <w:sz w:val="20"/>
          <w:szCs w:val="20"/>
        </w:rPr>
        <w:tab/>
      </w:r>
      <w:r>
        <w:rPr>
          <w:rFonts w:ascii="宋体" w:eastAsia="宋体" w:hAnsi="宋体" w:cs="宋体"/>
          <w:sz w:val="21"/>
          <w:szCs w:val="21"/>
        </w:rPr>
        <w:t>※</w:t>
      </w:r>
      <w:r>
        <w:rPr>
          <w:rFonts w:ascii="宋体" w:eastAsia="宋体" w:hAnsi="宋体" w:cs="宋体"/>
          <w:sz w:val="21"/>
          <w:szCs w:val="21"/>
        </w:rPr>
        <w:t>私募股权基金组织形式</w:t>
      </w:r>
    </w:p>
    <w:p w:rsidR="00E70C12" w:rsidRDefault="00E70C12">
      <w:pPr>
        <w:spacing w:line="320" w:lineRule="exact"/>
        <w:rPr>
          <w:sz w:val="20"/>
          <w:szCs w:val="20"/>
        </w:rPr>
      </w:pPr>
    </w:p>
    <w:p w:rsidR="00E70C12" w:rsidRDefault="005B59C5">
      <w:pPr>
        <w:tabs>
          <w:tab w:val="left" w:pos="4920"/>
        </w:tabs>
        <w:spacing w:line="240" w:lineRule="exact"/>
        <w:ind w:left="140"/>
        <w:rPr>
          <w:sz w:val="20"/>
          <w:szCs w:val="20"/>
        </w:rPr>
      </w:pPr>
      <w:r>
        <w:rPr>
          <w:rFonts w:ascii="宋体" w:eastAsia="宋体" w:hAnsi="宋体" w:cs="宋体"/>
          <w:sz w:val="21"/>
          <w:szCs w:val="21"/>
        </w:rPr>
        <w:t>※</w:t>
      </w:r>
      <w:r>
        <w:rPr>
          <w:rFonts w:ascii="宋体" w:eastAsia="宋体" w:hAnsi="宋体" w:cs="宋体"/>
          <w:sz w:val="21"/>
          <w:szCs w:val="21"/>
        </w:rPr>
        <w:t>国际社会对私募的立法与监管取向</w:t>
      </w:r>
      <w:r>
        <w:rPr>
          <w:sz w:val="20"/>
          <w:szCs w:val="20"/>
        </w:rPr>
        <w:tab/>
      </w:r>
      <w:r>
        <w:rPr>
          <w:rFonts w:ascii="宋体" w:eastAsia="宋体" w:hAnsi="宋体" w:cs="宋体"/>
          <w:sz w:val="21"/>
          <w:szCs w:val="21"/>
        </w:rPr>
        <w:t>※</w:t>
      </w:r>
      <w:r>
        <w:rPr>
          <w:rFonts w:ascii="宋体" w:eastAsia="宋体" w:hAnsi="宋体" w:cs="宋体"/>
          <w:sz w:val="21"/>
          <w:szCs w:val="21"/>
        </w:rPr>
        <w:t>私募股权基金制度优势</w:t>
      </w:r>
    </w:p>
    <w:p w:rsidR="00E70C12" w:rsidRDefault="005B59C5">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17780</wp:posOffset>
                </wp:positionH>
                <wp:positionV relativeFrom="paragraph">
                  <wp:posOffset>157480</wp:posOffset>
                </wp:positionV>
                <wp:extent cx="62452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pt,12.4pt" to="493.15pt,12.4pt" o:allowincell="f" strokecolor="#000000" strokeweight="0.5pt"/>
            </w:pict>
          </mc:Fallback>
        </mc:AlternateContent>
      </w:r>
    </w:p>
    <w:p w:rsidR="00E70C12" w:rsidRDefault="00E70C12">
      <w:pPr>
        <w:sectPr w:rsidR="00E70C12">
          <w:pgSz w:w="11900" w:h="16838"/>
          <w:pgMar w:top="1420" w:right="906" w:bottom="1440" w:left="1120" w:header="0" w:footer="0" w:gutter="0"/>
          <w:cols w:space="720" w:equalWidth="0">
            <w:col w:w="9880"/>
          </w:cols>
        </w:sectPr>
      </w:pPr>
    </w:p>
    <w:bookmarkStart w:id="3" w:name="page4"/>
    <w:bookmarkEnd w:id="3"/>
    <w:p w:rsidR="00E70C12" w:rsidRDefault="005B59C5">
      <w:pPr>
        <w:spacing w:line="86" w:lineRule="exact"/>
        <w:rPr>
          <w:sz w:val="20"/>
          <w:szCs w:val="20"/>
        </w:rPr>
      </w:pPr>
      <w:r>
        <w:rPr>
          <w:noProof/>
          <w:sz w:val="20"/>
          <w:szCs w:val="20"/>
        </w:rPr>
        <w:lastRenderedPageBreak/>
        <mc:AlternateContent>
          <mc:Choice Requires="wps">
            <w:drawing>
              <wp:anchor distT="0" distB="0" distL="114300" distR="114300" simplePos="0" relativeHeight="251652096" behindDoc="1" locked="0" layoutInCell="0" allowOverlap="1">
                <wp:simplePos x="0" y="0"/>
                <wp:positionH relativeFrom="page">
                  <wp:posOffset>732155</wp:posOffset>
                </wp:positionH>
                <wp:positionV relativeFrom="page">
                  <wp:posOffset>914400</wp:posOffset>
                </wp:positionV>
                <wp:extent cx="0" cy="85826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826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65pt,72pt" to="57.65pt,747.8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page">
                  <wp:posOffset>3780155</wp:posOffset>
                </wp:positionH>
                <wp:positionV relativeFrom="page">
                  <wp:posOffset>914400</wp:posOffset>
                </wp:positionV>
                <wp:extent cx="0" cy="14351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3510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7.65pt,72pt" to="297.65pt,185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page">
                  <wp:posOffset>6971030</wp:posOffset>
                </wp:positionH>
                <wp:positionV relativeFrom="page">
                  <wp:posOffset>914400</wp:posOffset>
                </wp:positionV>
                <wp:extent cx="0" cy="85826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8266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8.9pt,72pt" to="548.9pt,747.8pt" o:allowincell="f" strokecolor="#000000" strokeweight="0.5pt">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page">
                  <wp:posOffset>728980</wp:posOffset>
                </wp:positionH>
                <wp:positionV relativeFrom="page">
                  <wp:posOffset>917575</wp:posOffset>
                </wp:positionV>
                <wp:extent cx="6245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4pt,72.25pt" to="549.15pt,72.25pt" o:allowincell="f" strokecolor="#000000" strokeweight="0.5pt">
                <w10:wrap anchorx="page" anchory="page"/>
              </v:line>
            </w:pict>
          </mc:Fallback>
        </mc:AlternateContent>
      </w:r>
    </w:p>
    <w:p w:rsidR="00E70C12" w:rsidRDefault="005B59C5">
      <w:pPr>
        <w:tabs>
          <w:tab w:val="left" w:pos="4900"/>
        </w:tabs>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中国政策法律框架下的私募操作方略</w:t>
      </w:r>
      <w:r>
        <w:rPr>
          <w:sz w:val="20"/>
          <w:szCs w:val="20"/>
        </w:rPr>
        <w:tab/>
      </w:r>
      <w:r>
        <w:rPr>
          <w:rFonts w:ascii="宋体" w:eastAsia="宋体" w:hAnsi="宋体" w:cs="宋体"/>
          <w:sz w:val="21"/>
          <w:szCs w:val="21"/>
        </w:rPr>
        <w:t>※</w:t>
      </w:r>
      <w:r>
        <w:rPr>
          <w:rFonts w:ascii="宋体" w:eastAsia="宋体" w:hAnsi="宋体" w:cs="宋体"/>
          <w:sz w:val="21"/>
          <w:szCs w:val="21"/>
        </w:rPr>
        <w:t>被投项目企业的治理架构</w:t>
      </w:r>
    </w:p>
    <w:p w:rsidR="00E70C12" w:rsidRDefault="00E70C12">
      <w:pPr>
        <w:spacing w:line="3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580"/>
        <w:gridCol w:w="1220"/>
        <w:gridCol w:w="5020"/>
      </w:tblGrid>
      <w:tr w:rsidR="00E70C12">
        <w:trPr>
          <w:trHeight w:val="240"/>
        </w:trPr>
        <w:tc>
          <w:tcPr>
            <w:tcW w:w="20" w:type="dxa"/>
            <w:vAlign w:val="bottom"/>
          </w:tcPr>
          <w:p w:rsidR="00E70C12" w:rsidRDefault="00E70C12">
            <w:pPr>
              <w:rPr>
                <w:sz w:val="20"/>
                <w:szCs w:val="20"/>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创业投资（产业投资、风险投资）</w:t>
            </w:r>
          </w:p>
        </w:tc>
        <w:tc>
          <w:tcPr>
            <w:tcW w:w="1220" w:type="dxa"/>
            <w:vAlign w:val="bottom"/>
          </w:tcPr>
          <w:p w:rsidR="00E70C12" w:rsidRDefault="00E70C12">
            <w:pPr>
              <w:rPr>
                <w:sz w:val="20"/>
                <w:szCs w:val="20"/>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被投项目企业商业模式优化</w:t>
            </w:r>
          </w:p>
        </w:tc>
      </w:tr>
      <w:tr w:rsidR="00E70C12">
        <w:trPr>
          <w:trHeight w:val="560"/>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海外创投业及私募的发展经验</w:t>
            </w:r>
          </w:p>
        </w:tc>
        <w:tc>
          <w:tcPr>
            <w:tcW w:w="1220" w:type="dxa"/>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被投项目企业融资后的管理</w:t>
            </w:r>
          </w:p>
        </w:tc>
      </w:tr>
      <w:tr w:rsidR="00E70C12">
        <w:trPr>
          <w:trHeight w:val="560"/>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国内创投业发展经验与面临的挑战</w:t>
            </w:r>
          </w:p>
        </w:tc>
        <w:tc>
          <w:tcPr>
            <w:tcW w:w="1220" w:type="dxa"/>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被投企业的成长辅导与再融资</w:t>
            </w:r>
          </w:p>
        </w:tc>
      </w:tr>
      <w:tr w:rsidR="00E70C12">
        <w:trPr>
          <w:trHeight w:val="244"/>
        </w:trPr>
        <w:tc>
          <w:tcPr>
            <w:tcW w:w="20" w:type="dxa"/>
            <w:tcBorders>
              <w:bottom w:val="single" w:sz="8" w:space="0" w:color="auto"/>
            </w:tcBorders>
            <w:vAlign w:val="bottom"/>
          </w:tcPr>
          <w:p w:rsidR="00E70C12" w:rsidRDefault="00E70C12">
            <w:pPr>
              <w:rPr>
                <w:sz w:val="21"/>
                <w:szCs w:val="21"/>
              </w:rPr>
            </w:pPr>
          </w:p>
        </w:tc>
        <w:tc>
          <w:tcPr>
            <w:tcW w:w="3580" w:type="dxa"/>
            <w:tcBorders>
              <w:bottom w:val="single" w:sz="8" w:space="0" w:color="auto"/>
            </w:tcBorders>
            <w:vAlign w:val="bottom"/>
          </w:tcPr>
          <w:p w:rsidR="00E70C12" w:rsidRDefault="00E70C12">
            <w:pPr>
              <w:rPr>
                <w:sz w:val="21"/>
                <w:szCs w:val="21"/>
              </w:rPr>
            </w:pPr>
          </w:p>
        </w:tc>
        <w:tc>
          <w:tcPr>
            <w:tcW w:w="1220" w:type="dxa"/>
            <w:tcBorders>
              <w:bottom w:val="single" w:sz="8" w:space="0" w:color="auto"/>
            </w:tcBorders>
            <w:vAlign w:val="bottom"/>
          </w:tcPr>
          <w:p w:rsidR="00E70C12" w:rsidRDefault="00E70C12">
            <w:pPr>
              <w:rPr>
                <w:sz w:val="21"/>
                <w:szCs w:val="21"/>
              </w:rPr>
            </w:pPr>
          </w:p>
        </w:tc>
        <w:tc>
          <w:tcPr>
            <w:tcW w:w="5020" w:type="dxa"/>
            <w:tcBorders>
              <w:bottom w:val="single" w:sz="8" w:space="0" w:color="auto"/>
            </w:tcBorders>
            <w:vAlign w:val="bottom"/>
          </w:tcPr>
          <w:p w:rsidR="00E70C12" w:rsidRDefault="00E70C12">
            <w:pPr>
              <w:rPr>
                <w:sz w:val="21"/>
                <w:szCs w:val="21"/>
              </w:rPr>
            </w:pPr>
          </w:p>
        </w:tc>
      </w:tr>
      <w:tr w:rsidR="00E70C12">
        <w:trPr>
          <w:trHeight w:val="316"/>
        </w:trPr>
        <w:tc>
          <w:tcPr>
            <w:tcW w:w="20" w:type="dxa"/>
            <w:vAlign w:val="bottom"/>
          </w:tcPr>
          <w:p w:rsidR="00E70C12" w:rsidRDefault="00E70C12">
            <w:pPr>
              <w:rPr>
                <w:sz w:val="24"/>
                <w:szCs w:val="24"/>
              </w:rPr>
            </w:pPr>
          </w:p>
        </w:tc>
        <w:tc>
          <w:tcPr>
            <w:tcW w:w="3580" w:type="dxa"/>
            <w:shd w:val="clear" w:color="auto" w:fill="FF0000"/>
            <w:vAlign w:val="bottom"/>
          </w:tcPr>
          <w:p w:rsidR="00E70C12" w:rsidRDefault="00E70C12">
            <w:pPr>
              <w:rPr>
                <w:sz w:val="24"/>
                <w:szCs w:val="24"/>
              </w:rPr>
            </w:pPr>
          </w:p>
        </w:tc>
        <w:tc>
          <w:tcPr>
            <w:tcW w:w="6240" w:type="dxa"/>
            <w:gridSpan w:val="2"/>
            <w:shd w:val="clear" w:color="auto" w:fill="FF0000"/>
            <w:vAlign w:val="bottom"/>
          </w:tcPr>
          <w:p w:rsidR="00E70C12" w:rsidRDefault="005B59C5">
            <w:pPr>
              <w:spacing w:line="316" w:lineRule="exact"/>
              <w:ind w:right="3495"/>
              <w:jc w:val="center"/>
              <w:rPr>
                <w:sz w:val="20"/>
                <w:szCs w:val="20"/>
              </w:rPr>
            </w:pPr>
            <w:r>
              <w:rPr>
                <w:rFonts w:ascii="宋体" w:eastAsia="宋体" w:hAnsi="宋体" w:cs="宋体"/>
                <w:b/>
                <w:bCs/>
                <w:color w:val="FFFFFF"/>
                <w:sz w:val="28"/>
                <w:szCs w:val="28"/>
              </w:rPr>
              <w:t>第六模块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资本运营</w:t>
            </w:r>
          </w:p>
        </w:tc>
      </w:tr>
      <w:tr w:rsidR="00E70C12">
        <w:trPr>
          <w:trHeight w:val="234"/>
        </w:trPr>
        <w:tc>
          <w:tcPr>
            <w:tcW w:w="20" w:type="dxa"/>
            <w:tcBorders>
              <w:bottom w:val="single" w:sz="8" w:space="0" w:color="auto"/>
            </w:tcBorders>
            <w:vAlign w:val="bottom"/>
          </w:tcPr>
          <w:p w:rsidR="00E70C12" w:rsidRDefault="00E70C12">
            <w:pPr>
              <w:rPr>
                <w:sz w:val="20"/>
                <w:szCs w:val="20"/>
              </w:rPr>
            </w:pPr>
          </w:p>
        </w:tc>
        <w:tc>
          <w:tcPr>
            <w:tcW w:w="3580" w:type="dxa"/>
            <w:tcBorders>
              <w:bottom w:val="single" w:sz="8" w:space="0" w:color="auto"/>
            </w:tcBorders>
            <w:shd w:val="clear" w:color="auto" w:fill="FF0000"/>
            <w:vAlign w:val="bottom"/>
          </w:tcPr>
          <w:p w:rsidR="00E70C12" w:rsidRDefault="00E70C12">
            <w:pPr>
              <w:rPr>
                <w:sz w:val="20"/>
                <w:szCs w:val="20"/>
              </w:rPr>
            </w:pPr>
          </w:p>
        </w:tc>
        <w:tc>
          <w:tcPr>
            <w:tcW w:w="1220" w:type="dxa"/>
            <w:tcBorders>
              <w:bottom w:val="single" w:sz="8" w:space="0" w:color="auto"/>
              <w:right w:val="single" w:sz="8" w:space="0" w:color="FF0000"/>
            </w:tcBorders>
            <w:shd w:val="clear" w:color="auto" w:fill="FF0000"/>
            <w:vAlign w:val="bottom"/>
          </w:tcPr>
          <w:p w:rsidR="00E70C12" w:rsidRDefault="00E70C12">
            <w:pPr>
              <w:rPr>
                <w:sz w:val="20"/>
                <w:szCs w:val="20"/>
              </w:rPr>
            </w:pPr>
          </w:p>
        </w:tc>
        <w:tc>
          <w:tcPr>
            <w:tcW w:w="5020" w:type="dxa"/>
            <w:tcBorders>
              <w:bottom w:val="single" w:sz="8" w:space="0" w:color="auto"/>
            </w:tcBorders>
            <w:shd w:val="clear" w:color="auto" w:fill="FF0000"/>
            <w:vAlign w:val="bottom"/>
          </w:tcPr>
          <w:p w:rsidR="00E70C12" w:rsidRDefault="00E70C12">
            <w:pPr>
              <w:rPr>
                <w:sz w:val="20"/>
                <w:szCs w:val="20"/>
              </w:rPr>
            </w:pPr>
          </w:p>
        </w:tc>
      </w:tr>
      <w:tr w:rsidR="00E70C12">
        <w:trPr>
          <w:trHeight w:val="275"/>
        </w:trPr>
        <w:tc>
          <w:tcPr>
            <w:tcW w:w="20" w:type="dxa"/>
            <w:vAlign w:val="bottom"/>
          </w:tcPr>
          <w:p w:rsidR="00E70C12" w:rsidRDefault="00E70C12">
            <w:pPr>
              <w:rPr>
                <w:sz w:val="23"/>
                <w:szCs w:val="23"/>
              </w:rPr>
            </w:pPr>
          </w:p>
        </w:tc>
        <w:tc>
          <w:tcPr>
            <w:tcW w:w="3580" w:type="dxa"/>
            <w:vAlign w:val="bottom"/>
          </w:tcPr>
          <w:p w:rsidR="00E70C12" w:rsidRDefault="005B59C5">
            <w:pPr>
              <w:spacing w:line="240" w:lineRule="exact"/>
              <w:ind w:left="100"/>
              <w:rPr>
                <w:sz w:val="20"/>
                <w:szCs w:val="20"/>
              </w:rPr>
            </w:pPr>
            <w:r>
              <w:rPr>
                <w:rFonts w:ascii="宋体" w:eastAsia="宋体" w:hAnsi="宋体" w:cs="宋体"/>
                <w:b/>
                <w:bCs/>
                <w:sz w:val="21"/>
                <w:szCs w:val="21"/>
              </w:rPr>
              <w:t>企业资本运营实务分析</w:t>
            </w:r>
          </w:p>
        </w:tc>
        <w:tc>
          <w:tcPr>
            <w:tcW w:w="1220" w:type="dxa"/>
            <w:tcBorders>
              <w:right w:val="single" w:sz="8" w:space="0" w:color="auto"/>
            </w:tcBorders>
            <w:vAlign w:val="bottom"/>
          </w:tcPr>
          <w:p w:rsidR="00E70C12" w:rsidRDefault="00E70C12">
            <w:pPr>
              <w:rPr>
                <w:sz w:val="23"/>
                <w:szCs w:val="23"/>
              </w:rPr>
            </w:pPr>
          </w:p>
        </w:tc>
        <w:tc>
          <w:tcPr>
            <w:tcW w:w="5020" w:type="dxa"/>
            <w:vAlign w:val="bottom"/>
          </w:tcPr>
          <w:p w:rsidR="00E70C12" w:rsidRDefault="005B59C5">
            <w:pPr>
              <w:spacing w:line="240" w:lineRule="exact"/>
              <w:ind w:left="100"/>
              <w:rPr>
                <w:sz w:val="20"/>
                <w:szCs w:val="20"/>
              </w:rPr>
            </w:pPr>
            <w:r>
              <w:rPr>
                <w:rFonts w:ascii="宋体" w:eastAsia="宋体" w:hAnsi="宋体" w:cs="宋体"/>
                <w:b/>
                <w:bCs/>
                <w:sz w:val="21"/>
                <w:szCs w:val="21"/>
              </w:rPr>
              <w:t>与上市相关的企业资本运作</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企业多元化投融资分析与决策</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股权激励与股东价值管理</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多渠道融资实践</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企业国内外上市战略选择与操作</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企业战略并购与重组</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企业上市前的税务筹划与法律风险防范</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新三板挂牌操作实务</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公司治理及商业模式创新</w:t>
            </w:r>
          </w:p>
        </w:tc>
      </w:tr>
      <w:tr w:rsidR="00E70C12">
        <w:trPr>
          <w:trHeight w:val="274"/>
        </w:trPr>
        <w:tc>
          <w:tcPr>
            <w:tcW w:w="20" w:type="dxa"/>
            <w:tcBorders>
              <w:bottom w:val="single" w:sz="8" w:space="0" w:color="auto"/>
            </w:tcBorders>
            <w:vAlign w:val="bottom"/>
          </w:tcPr>
          <w:p w:rsidR="00E70C12" w:rsidRDefault="00E70C12">
            <w:pPr>
              <w:rPr>
                <w:sz w:val="23"/>
                <w:szCs w:val="23"/>
              </w:rPr>
            </w:pPr>
          </w:p>
        </w:tc>
        <w:tc>
          <w:tcPr>
            <w:tcW w:w="3580" w:type="dxa"/>
            <w:tcBorders>
              <w:bottom w:val="single" w:sz="8" w:space="0" w:color="auto"/>
            </w:tcBorders>
            <w:vAlign w:val="bottom"/>
          </w:tcPr>
          <w:p w:rsidR="00E70C12" w:rsidRDefault="00E70C12">
            <w:pPr>
              <w:rPr>
                <w:sz w:val="23"/>
                <w:szCs w:val="23"/>
              </w:rPr>
            </w:pPr>
          </w:p>
        </w:tc>
        <w:tc>
          <w:tcPr>
            <w:tcW w:w="1220" w:type="dxa"/>
            <w:tcBorders>
              <w:bottom w:val="single" w:sz="8" w:space="0" w:color="auto"/>
              <w:right w:val="single" w:sz="8" w:space="0" w:color="auto"/>
            </w:tcBorders>
            <w:vAlign w:val="bottom"/>
          </w:tcPr>
          <w:p w:rsidR="00E70C12" w:rsidRDefault="00E70C12">
            <w:pPr>
              <w:rPr>
                <w:sz w:val="23"/>
                <w:szCs w:val="23"/>
              </w:rPr>
            </w:pPr>
          </w:p>
        </w:tc>
        <w:tc>
          <w:tcPr>
            <w:tcW w:w="5020" w:type="dxa"/>
            <w:tcBorders>
              <w:bottom w:val="single" w:sz="8" w:space="0" w:color="auto"/>
            </w:tcBorders>
            <w:vAlign w:val="bottom"/>
          </w:tcPr>
          <w:p w:rsidR="00E70C12" w:rsidRDefault="00E70C12">
            <w:pPr>
              <w:rPr>
                <w:sz w:val="23"/>
                <w:szCs w:val="23"/>
              </w:rPr>
            </w:pPr>
          </w:p>
        </w:tc>
      </w:tr>
      <w:tr w:rsidR="00E70C12">
        <w:trPr>
          <w:trHeight w:val="290"/>
        </w:trPr>
        <w:tc>
          <w:tcPr>
            <w:tcW w:w="20" w:type="dxa"/>
            <w:vAlign w:val="bottom"/>
          </w:tcPr>
          <w:p w:rsidR="00E70C12" w:rsidRDefault="00E70C12">
            <w:pPr>
              <w:rPr>
                <w:sz w:val="24"/>
                <w:szCs w:val="24"/>
              </w:rPr>
            </w:pPr>
          </w:p>
        </w:tc>
        <w:tc>
          <w:tcPr>
            <w:tcW w:w="3580" w:type="dxa"/>
            <w:shd w:val="clear" w:color="auto" w:fill="FF0000"/>
            <w:vAlign w:val="bottom"/>
          </w:tcPr>
          <w:p w:rsidR="00E70C12" w:rsidRDefault="00E70C12">
            <w:pPr>
              <w:rPr>
                <w:sz w:val="24"/>
                <w:szCs w:val="24"/>
              </w:rPr>
            </w:pPr>
          </w:p>
        </w:tc>
        <w:tc>
          <w:tcPr>
            <w:tcW w:w="6240" w:type="dxa"/>
            <w:gridSpan w:val="2"/>
            <w:shd w:val="clear" w:color="auto" w:fill="FF0000"/>
            <w:vAlign w:val="bottom"/>
          </w:tcPr>
          <w:p w:rsidR="00E70C12" w:rsidRDefault="005B59C5">
            <w:pPr>
              <w:spacing w:line="274" w:lineRule="exact"/>
              <w:ind w:right="3475"/>
              <w:jc w:val="center"/>
              <w:rPr>
                <w:sz w:val="20"/>
                <w:szCs w:val="20"/>
              </w:rPr>
            </w:pPr>
            <w:r>
              <w:rPr>
                <w:rFonts w:ascii="宋体" w:eastAsia="宋体" w:hAnsi="宋体" w:cs="宋体"/>
                <w:b/>
                <w:bCs/>
                <w:color w:val="FFFFFF"/>
                <w:sz w:val="24"/>
                <w:szCs w:val="24"/>
              </w:rPr>
              <w:t>第七模块</w:t>
            </w:r>
            <w:r>
              <w:rPr>
                <w:rFonts w:ascii="宋体" w:eastAsia="宋体" w:hAnsi="宋体" w:cs="宋体"/>
                <w:b/>
                <w:bCs/>
                <w:color w:val="FFFFFF"/>
                <w:sz w:val="24"/>
                <w:szCs w:val="24"/>
              </w:rPr>
              <w:t xml:space="preserve"> </w:t>
            </w:r>
            <w:r>
              <w:rPr>
                <w:rFonts w:ascii="宋体" w:eastAsia="宋体" w:hAnsi="宋体" w:cs="宋体"/>
                <w:b/>
                <w:bCs/>
                <w:color w:val="FFFFFF"/>
                <w:sz w:val="24"/>
                <w:szCs w:val="24"/>
              </w:rPr>
              <w:t>互联网金融</w:t>
            </w:r>
          </w:p>
        </w:tc>
      </w:tr>
      <w:tr w:rsidR="00E70C12">
        <w:trPr>
          <w:trHeight w:val="259"/>
        </w:trPr>
        <w:tc>
          <w:tcPr>
            <w:tcW w:w="20" w:type="dxa"/>
            <w:tcBorders>
              <w:bottom w:val="single" w:sz="8" w:space="0" w:color="auto"/>
            </w:tcBorders>
            <w:vAlign w:val="bottom"/>
          </w:tcPr>
          <w:p w:rsidR="00E70C12" w:rsidRDefault="00E70C12"/>
        </w:tc>
        <w:tc>
          <w:tcPr>
            <w:tcW w:w="3580" w:type="dxa"/>
            <w:tcBorders>
              <w:bottom w:val="single" w:sz="8" w:space="0" w:color="auto"/>
            </w:tcBorders>
            <w:shd w:val="clear" w:color="auto" w:fill="FF0000"/>
            <w:vAlign w:val="bottom"/>
          </w:tcPr>
          <w:p w:rsidR="00E70C12" w:rsidRDefault="00E70C12"/>
        </w:tc>
        <w:tc>
          <w:tcPr>
            <w:tcW w:w="1220" w:type="dxa"/>
            <w:tcBorders>
              <w:bottom w:val="single" w:sz="8" w:space="0" w:color="auto"/>
              <w:right w:val="single" w:sz="8" w:space="0" w:color="FF0000"/>
            </w:tcBorders>
            <w:shd w:val="clear" w:color="auto" w:fill="FF0000"/>
            <w:vAlign w:val="bottom"/>
          </w:tcPr>
          <w:p w:rsidR="00E70C12" w:rsidRDefault="00E70C12"/>
        </w:tc>
        <w:tc>
          <w:tcPr>
            <w:tcW w:w="5020" w:type="dxa"/>
            <w:tcBorders>
              <w:bottom w:val="single" w:sz="8" w:space="0" w:color="auto"/>
            </w:tcBorders>
            <w:shd w:val="clear" w:color="auto" w:fill="FF0000"/>
            <w:vAlign w:val="bottom"/>
          </w:tcPr>
          <w:p w:rsidR="00E70C12" w:rsidRDefault="00E70C12"/>
        </w:tc>
      </w:tr>
      <w:tr w:rsidR="00E70C12">
        <w:trPr>
          <w:trHeight w:val="275"/>
        </w:trPr>
        <w:tc>
          <w:tcPr>
            <w:tcW w:w="20" w:type="dxa"/>
            <w:vAlign w:val="bottom"/>
          </w:tcPr>
          <w:p w:rsidR="00E70C12" w:rsidRDefault="00E70C12">
            <w:pPr>
              <w:rPr>
                <w:sz w:val="23"/>
                <w:szCs w:val="23"/>
              </w:rPr>
            </w:pPr>
          </w:p>
        </w:tc>
        <w:tc>
          <w:tcPr>
            <w:tcW w:w="3580" w:type="dxa"/>
            <w:vAlign w:val="bottom"/>
          </w:tcPr>
          <w:p w:rsidR="00E70C12" w:rsidRDefault="005B59C5">
            <w:pPr>
              <w:spacing w:line="240" w:lineRule="exact"/>
              <w:ind w:left="100"/>
              <w:rPr>
                <w:sz w:val="20"/>
                <w:szCs w:val="20"/>
              </w:rPr>
            </w:pPr>
            <w:r>
              <w:rPr>
                <w:rFonts w:ascii="宋体" w:eastAsia="宋体" w:hAnsi="宋体" w:cs="宋体"/>
                <w:b/>
                <w:bCs/>
                <w:sz w:val="21"/>
                <w:szCs w:val="21"/>
              </w:rPr>
              <w:t>互联网金融格局</w:t>
            </w:r>
          </w:p>
        </w:tc>
        <w:tc>
          <w:tcPr>
            <w:tcW w:w="1220" w:type="dxa"/>
            <w:tcBorders>
              <w:right w:val="single" w:sz="8" w:space="0" w:color="auto"/>
            </w:tcBorders>
            <w:vAlign w:val="bottom"/>
          </w:tcPr>
          <w:p w:rsidR="00E70C12" w:rsidRDefault="00E70C12">
            <w:pPr>
              <w:rPr>
                <w:sz w:val="23"/>
                <w:szCs w:val="23"/>
              </w:rPr>
            </w:pPr>
          </w:p>
        </w:tc>
        <w:tc>
          <w:tcPr>
            <w:tcW w:w="5020" w:type="dxa"/>
            <w:vAlign w:val="bottom"/>
          </w:tcPr>
          <w:p w:rsidR="00E70C12" w:rsidRDefault="005B59C5">
            <w:pPr>
              <w:spacing w:line="240" w:lineRule="exact"/>
              <w:ind w:left="100"/>
              <w:rPr>
                <w:sz w:val="20"/>
                <w:szCs w:val="20"/>
              </w:rPr>
            </w:pPr>
            <w:r>
              <w:rPr>
                <w:rFonts w:ascii="宋体" w:eastAsia="宋体" w:hAnsi="宋体" w:cs="宋体"/>
                <w:b/>
                <w:bCs/>
                <w:sz w:val="21"/>
                <w:szCs w:val="21"/>
              </w:rPr>
              <w:t>互联网金融模式解析</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传统金融机构与非金融机构</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传统业务在互联网营销模式中的应用</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中国金融业的改革与创新</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中小微企业对第三方支付机构的需求</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互联网金融对传统金融市场的影响</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电商平台金融的应用</w:t>
            </w:r>
          </w:p>
        </w:tc>
      </w:tr>
      <w:tr w:rsidR="00E70C12">
        <w:trPr>
          <w:trHeight w:val="559"/>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互联网金融发展与趋势</w:t>
            </w:r>
          </w:p>
        </w:tc>
        <w:tc>
          <w:tcPr>
            <w:tcW w:w="1220" w:type="dxa"/>
            <w:tcBorders>
              <w:right w:val="single" w:sz="8" w:space="0" w:color="auto"/>
            </w:tcBorders>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 xml:space="preserve">※P2P </w:t>
            </w:r>
            <w:r>
              <w:rPr>
                <w:rFonts w:ascii="宋体" w:eastAsia="宋体" w:hAnsi="宋体" w:cs="宋体"/>
                <w:sz w:val="21"/>
                <w:szCs w:val="21"/>
              </w:rPr>
              <w:t>网络借贷的发展趋势</w:t>
            </w:r>
          </w:p>
        </w:tc>
      </w:tr>
      <w:tr w:rsidR="00E70C12">
        <w:trPr>
          <w:trHeight w:val="274"/>
        </w:trPr>
        <w:tc>
          <w:tcPr>
            <w:tcW w:w="20" w:type="dxa"/>
            <w:tcBorders>
              <w:bottom w:val="single" w:sz="8" w:space="0" w:color="auto"/>
            </w:tcBorders>
            <w:vAlign w:val="bottom"/>
          </w:tcPr>
          <w:p w:rsidR="00E70C12" w:rsidRDefault="00E70C12">
            <w:pPr>
              <w:rPr>
                <w:sz w:val="23"/>
                <w:szCs w:val="23"/>
              </w:rPr>
            </w:pPr>
          </w:p>
        </w:tc>
        <w:tc>
          <w:tcPr>
            <w:tcW w:w="3580" w:type="dxa"/>
            <w:tcBorders>
              <w:bottom w:val="single" w:sz="8" w:space="0" w:color="auto"/>
            </w:tcBorders>
            <w:vAlign w:val="bottom"/>
          </w:tcPr>
          <w:p w:rsidR="00E70C12" w:rsidRDefault="00E70C12">
            <w:pPr>
              <w:rPr>
                <w:sz w:val="23"/>
                <w:szCs w:val="23"/>
              </w:rPr>
            </w:pPr>
          </w:p>
        </w:tc>
        <w:tc>
          <w:tcPr>
            <w:tcW w:w="1220" w:type="dxa"/>
            <w:tcBorders>
              <w:bottom w:val="single" w:sz="8" w:space="0" w:color="auto"/>
              <w:right w:val="single" w:sz="8" w:space="0" w:color="auto"/>
            </w:tcBorders>
            <w:vAlign w:val="bottom"/>
          </w:tcPr>
          <w:p w:rsidR="00E70C12" w:rsidRDefault="00E70C12">
            <w:pPr>
              <w:rPr>
                <w:sz w:val="23"/>
                <w:szCs w:val="23"/>
              </w:rPr>
            </w:pPr>
          </w:p>
        </w:tc>
        <w:tc>
          <w:tcPr>
            <w:tcW w:w="5020" w:type="dxa"/>
            <w:tcBorders>
              <w:bottom w:val="single" w:sz="8" w:space="0" w:color="auto"/>
            </w:tcBorders>
            <w:vAlign w:val="bottom"/>
          </w:tcPr>
          <w:p w:rsidR="00E70C12" w:rsidRDefault="00E70C12">
            <w:pPr>
              <w:rPr>
                <w:sz w:val="23"/>
                <w:szCs w:val="23"/>
              </w:rPr>
            </w:pPr>
          </w:p>
        </w:tc>
      </w:tr>
      <w:tr w:rsidR="00E70C12">
        <w:trPr>
          <w:trHeight w:val="316"/>
        </w:trPr>
        <w:tc>
          <w:tcPr>
            <w:tcW w:w="20" w:type="dxa"/>
            <w:vAlign w:val="bottom"/>
          </w:tcPr>
          <w:p w:rsidR="00E70C12" w:rsidRDefault="00E70C12">
            <w:pPr>
              <w:rPr>
                <w:sz w:val="24"/>
                <w:szCs w:val="24"/>
              </w:rPr>
            </w:pPr>
          </w:p>
        </w:tc>
        <w:tc>
          <w:tcPr>
            <w:tcW w:w="3580" w:type="dxa"/>
            <w:shd w:val="clear" w:color="auto" w:fill="FF0000"/>
            <w:vAlign w:val="bottom"/>
          </w:tcPr>
          <w:p w:rsidR="00E70C12" w:rsidRDefault="00E70C12">
            <w:pPr>
              <w:rPr>
                <w:sz w:val="24"/>
                <w:szCs w:val="24"/>
              </w:rPr>
            </w:pPr>
          </w:p>
        </w:tc>
        <w:tc>
          <w:tcPr>
            <w:tcW w:w="6240" w:type="dxa"/>
            <w:gridSpan w:val="2"/>
            <w:shd w:val="clear" w:color="auto" w:fill="FF0000"/>
            <w:vAlign w:val="bottom"/>
          </w:tcPr>
          <w:p w:rsidR="00E70C12" w:rsidRDefault="005B59C5">
            <w:pPr>
              <w:spacing w:line="316" w:lineRule="exact"/>
              <w:ind w:right="3495"/>
              <w:jc w:val="center"/>
              <w:rPr>
                <w:sz w:val="20"/>
                <w:szCs w:val="20"/>
              </w:rPr>
            </w:pPr>
            <w:r>
              <w:rPr>
                <w:rFonts w:ascii="宋体" w:eastAsia="宋体" w:hAnsi="宋体" w:cs="宋体"/>
                <w:b/>
                <w:bCs/>
                <w:color w:val="FFFFFF"/>
                <w:sz w:val="28"/>
                <w:szCs w:val="28"/>
              </w:rPr>
              <w:t>第八模块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期货市场</w:t>
            </w:r>
          </w:p>
        </w:tc>
      </w:tr>
      <w:tr w:rsidR="00E70C12">
        <w:trPr>
          <w:trHeight w:val="234"/>
        </w:trPr>
        <w:tc>
          <w:tcPr>
            <w:tcW w:w="20" w:type="dxa"/>
            <w:tcBorders>
              <w:bottom w:val="single" w:sz="8" w:space="0" w:color="auto"/>
            </w:tcBorders>
            <w:vAlign w:val="bottom"/>
          </w:tcPr>
          <w:p w:rsidR="00E70C12" w:rsidRDefault="00E70C12">
            <w:pPr>
              <w:rPr>
                <w:sz w:val="20"/>
                <w:szCs w:val="20"/>
              </w:rPr>
            </w:pPr>
          </w:p>
        </w:tc>
        <w:tc>
          <w:tcPr>
            <w:tcW w:w="3580" w:type="dxa"/>
            <w:tcBorders>
              <w:bottom w:val="single" w:sz="8" w:space="0" w:color="auto"/>
            </w:tcBorders>
            <w:shd w:val="clear" w:color="auto" w:fill="FF0000"/>
            <w:vAlign w:val="bottom"/>
          </w:tcPr>
          <w:p w:rsidR="00E70C12" w:rsidRDefault="00E70C12">
            <w:pPr>
              <w:rPr>
                <w:sz w:val="20"/>
                <w:szCs w:val="20"/>
              </w:rPr>
            </w:pPr>
          </w:p>
        </w:tc>
        <w:tc>
          <w:tcPr>
            <w:tcW w:w="1220" w:type="dxa"/>
            <w:tcBorders>
              <w:bottom w:val="single" w:sz="8" w:space="0" w:color="auto"/>
              <w:right w:val="single" w:sz="8" w:space="0" w:color="FF0000"/>
            </w:tcBorders>
            <w:shd w:val="clear" w:color="auto" w:fill="FF0000"/>
            <w:vAlign w:val="bottom"/>
          </w:tcPr>
          <w:p w:rsidR="00E70C12" w:rsidRDefault="00E70C12">
            <w:pPr>
              <w:rPr>
                <w:sz w:val="20"/>
                <w:szCs w:val="20"/>
              </w:rPr>
            </w:pPr>
          </w:p>
        </w:tc>
        <w:tc>
          <w:tcPr>
            <w:tcW w:w="5020" w:type="dxa"/>
            <w:tcBorders>
              <w:bottom w:val="single" w:sz="8" w:space="0" w:color="auto"/>
            </w:tcBorders>
            <w:shd w:val="clear" w:color="auto" w:fill="FF0000"/>
            <w:vAlign w:val="bottom"/>
          </w:tcPr>
          <w:p w:rsidR="00E70C12" w:rsidRDefault="00E70C12">
            <w:pPr>
              <w:rPr>
                <w:sz w:val="20"/>
                <w:szCs w:val="20"/>
              </w:rPr>
            </w:pPr>
          </w:p>
        </w:tc>
      </w:tr>
      <w:tr w:rsidR="00E70C12">
        <w:trPr>
          <w:trHeight w:val="306"/>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b/>
                <w:bCs/>
                <w:sz w:val="21"/>
                <w:szCs w:val="21"/>
              </w:rPr>
              <w:t>期货市场的定位</w:t>
            </w:r>
          </w:p>
        </w:tc>
        <w:tc>
          <w:tcPr>
            <w:tcW w:w="1220" w:type="dxa"/>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b/>
                <w:bCs/>
                <w:sz w:val="21"/>
                <w:szCs w:val="21"/>
              </w:rPr>
              <w:t>金融期货解析</w:t>
            </w:r>
          </w:p>
        </w:tc>
      </w:tr>
      <w:tr w:rsidR="00E70C12">
        <w:trPr>
          <w:trHeight w:val="560"/>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价格发现、风险管理、资产配置</w:t>
            </w:r>
          </w:p>
        </w:tc>
        <w:tc>
          <w:tcPr>
            <w:tcW w:w="1220" w:type="dxa"/>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金融期货的种类：证券、债券、外汇</w:t>
            </w:r>
          </w:p>
        </w:tc>
      </w:tr>
      <w:tr w:rsidR="00E70C12">
        <w:trPr>
          <w:trHeight w:val="560"/>
        </w:trPr>
        <w:tc>
          <w:tcPr>
            <w:tcW w:w="20" w:type="dxa"/>
            <w:vAlign w:val="bottom"/>
          </w:tcPr>
          <w:p w:rsidR="00E70C12" w:rsidRDefault="00E70C12">
            <w:pPr>
              <w:rPr>
                <w:sz w:val="24"/>
                <w:szCs w:val="24"/>
              </w:rPr>
            </w:pPr>
          </w:p>
        </w:tc>
        <w:tc>
          <w:tcPr>
            <w:tcW w:w="358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大宗商品与经济预测</w:t>
            </w:r>
          </w:p>
        </w:tc>
        <w:tc>
          <w:tcPr>
            <w:tcW w:w="1220" w:type="dxa"/>
            <w:vAlign w:val="bottom"/>
          </w:tcPr>
          <w:p w:rsidR="00E70C12" w:rsidRDefault="00E70C12">
            <w:pPr>
              <w:rPr>
                <w:sz w:val="24"/>
                <w:szCs w:val="24"/>
              </w:rPr>
            </w:pPr>
          </w:p>
        </w:tc>
        <w:tc>
          <w:tcPr>
            <w:tcW w:w="5020" w:type="dxa"/>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大宗商品与证券市场、股指期货的关联性</w:t>
            </w:r>
          </w:p>
        </w:tc>
      </w:tr>
    </w:tbl>
    <w:p w:rsidR="00E70C12" w:rsidRDefault="005B59C5">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3056255</wp:posOffset>
                </wp:positionH>
                <wp:positionV relativeFrom="paragraph">
                  <wp:posOffset>-917575</wp:posOffset>
                </wp:positionV>
                <wp:extent cx="0" cy="214566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56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0.65pt,-72.2499pt" to="240.65pt,96.7pt" o:allowincell="f" strokecolor="#000000" strokeweight="0.5pt"/>
            </w:pict>
          </mc:Fallback>
        </mc:AlternateContent>
      </w:r>
    </w:p>
    <w:p w:rsidR="00E70C12" w:rsidRDefault="00E70C12">
      <w:pPr>
        <w:spacing w:line="300" w:lineRule="exact"/>
        <w:rPr>
          <w:sz w:val="20"/>
          <w:szCs w:val="20"/>
        </w:rPr>
      </w:pPr>
    </w:p>
    <w:p w:rsidR="00E70C12" w:rsidRDefault="005B59C5">
      <w:pPr>
        <w:tabs>
          <w:tab w:val="left" w:pos="4900"/>
        </w:tabs>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期货在资本市场、金融体系中的地位和作用</w:t>
      </w:r>
      <w:r>
        <w:rPr>
          <w:sz w:val="20"/>
          <w:szCs w:val="20"/>
        </w:rPr>
        <w:tab/>
      </w:r>
      <w:r>
        <w:rPr>
          <w:rFonts w:ascii="宋体" w:eastAsia="宋体" w:hAnsi="宋体" w:cs="宋体"/>
          <w:sz w:val="21"/>
          <w:szCs w:val="21"/>
        </w:rPr>
        <w:t>※</w:t>
      </w:r>
      <w:r>
        <w:rPr>
          <w:rFonts w:ascii="宋体" w:eastAsia="宋体" w:hAnsi="宋体" w:cs="宋体"/>
          <w:sz w:val="21"/>
          <w:szCs w:val="21"/>
        </w:rPr>
        <w:t>股指期货特点及交易策略与技巧</w:t>
      </w:r>
    </w:p>
    <w:p w:rsidR="00E70C12" w:rsidRDefault="00E70C12">
      <w:pPr>
        <w:spacing w:line="320" w:lineRule="exact"/>
        <w:rPr>
          <w:sz w:val="20"/>
          <w:szCs w:val="20"/>
        </w:rPr>
      </w:pPr>
    </w:p>
    <w:p w:rsidR="00E70C12" w:rsidRDefault="005B59C5">
      <w:pPr>
        <w:tabs>
          <w:tab w:val="left" w:pos="4900"/>
        </w:tabs>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金融衍生品与金融危机的形成、征兆与防范</w:t>
      </w:r>
      <w:r>
        <w:rPr>
          <w:sz w:val="20"/>
          <w:szCs w:val="20"/>
        </w:rPr>
        <w:tab/>
      </w:r>
      <w:r>
        <w:rPr>
          <w:rFonts w:ascii="宋体" w:eastAsia="宋体" w:hAnsi="宋体" w:cs="宋体"/>
          <w:sz w:val="21"/>
          <w:szCs w:val="21"/>
        </w:rPr>
        <w:t>※</w:t>
      </w:r>
      <w:r>
        <w:rPr>
          <w:rFonts w:ascii="宋体" w:eastAsia="宋体" w:hAnsi="宋体" w:cs="宋体"/>
          <w:sz w:val="21"/>
          <w:szCs w:val="21"/>
        </w:rPr>
        <w:t>国债期货特点及交易策略与技巧</w:t>
      </w:r>
    </w:p>
    <w:p w:rsidR="00E70C12" w:rsidRDefault="00E70C12">
      <w:pPr>
        <w:spacing w:line="320" w:lineRule="exact"/>
        <w:rPr>
          <w:sz w:val="20"/>
          <w:szCs w:val="20"/>
        </w:rPr>
      </w:pPr>
    </w:p>
    <w:p w:rsidR="00E70C12" w:rsidRDefault="005B59C5">
      <w:pPr>
        <w:tabs>
          <w:tab w:val="left" w:pos="4900"/>
        </w:tabs>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国际重大风险事件与金融监管体制演变</w:t>
      </w:r>
      <w:r>
        <w:rPr>
          <w:sz w:val="20"/>
          <w:szCs w:val="20"/>
        </w:rPr>
        <w:tab/>
      </w:r>
      <w:r>
        <w:rPr>
          <w:rFonts w:ascii="宋体" w:eastAsia="宋体" w:hAnsi="宋体" w:cs="宋体"/>
          <w:sz w:val="21"/>
          <w:szCs w:val="21"/>
        </w:rPr>
        <w:t>※</w:t>
      </w:r>
      <w:r>
        <w:rPr>
          <w:rFonts w:ascii="宋体" w:eastAsia="宋体" w:hAnsi="宋体" w:cs="宋体"/>
          <w:sz w:val="21"/>
          <w:szCs w:val="21"/>
        </w:rPr>
        <w:t>外汇期货特点及上市前景展望</w:t>
      </w:r>
    </w:p>
    <w:p w:rsidR="00E70C12" w:rsidRDefault="005B59C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11430</wp:posOffset>
                </wp:positionH>
                <wp:positionV relativeFrom="paragraph">
                  <wp:posOffset>161290</wp:posOffset>
                </wp:positionV>
                <wp:extent cx="6232525" cy="3556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2525" cy="355600"/>
                        </a:xfrm>
                        <a:prstGeom prst="rect">
                          <a:avLst/>
                        </a:prstGeom>
                        <a:solidFill>
                          <a:srgbClr val="FF0000"/>
                        </a:solidFill>
                      </wps:spPr>
                      <wps:bodyPr/>
                    </wps:wsp>
                  </a:graphicData>
                </a:graphic>
              </wp:anchor>
            </w:drawing>
          </mc:Choice>
          <mc:Fallback>
            <w:pict>
              <v:rect id="Shape 16" o:spid="_x0000_s1041" style="position:absolute;margin-left:0.9pt;margin-top:12.7pt;width:490.75pt;height:2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0000" stroked="f"/>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5080</wp:posOffset>
                </wp:positionH>
                <wp:positionV relativeFrom="paragraph">
                  <wp:posOffset>158115</wp:posOffset>
                </wp:positionV>
                <wp:extent cx="62452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2.45pt" to="492.15pt,12.45pt" o:allowincell="f" strokecolor="#000000" strokeweight="0.5pt"/>
            </w:pict>
          </mc:Fallback>
        </mc:AlternateContent>
      </w:r>
    </w:p>
    <w:p w:rsidR="00E70C12" w:rsidRDefault="00E70C12">
      <w:pPr>
        <w:sectPr w:rsidR="00E70C12">
          <w:pgSz w:w="11900" w:h="16838"/>
          <w:pgMar w:top="1440" w:right="926" w:bottom="1440" w:left="1140" w:header="0" w:footer="0" w:gutter="0"/>
          <w:cols w:space="720" w:equalWidth="0">
            <w:col w:w="9840"/>
          </w:cols>
        </w:sectPr>
      </w:pPr>
    </w:p>
    <w:p w:rsidR="00E70C12" w:rsidRDefault="00E70C12">
      <w:pPr>
        <w:spacing w:line="261" w:lineRule="exact"/>
        <w:rPr>
          <w:sz w:val="20"/>
          <w:szCs w:val="20"/>
        </w:rPr>
      </w:pPr>
    </w:p>
    <w:p w:rsidR="00E70C12" w:rsidRDefault="005B59C5">
      <w:pPr>
        <w:spacing w:line="320" w:lineRule="exact"/>
        <w:jc w:val="center"/>
        <w:rPr>
          <w:sz w:val="20"/>
          <w:szCs w:val="20"/>
        </w:rPr>
      </w:pPr>
      <w:r>
        <w:rPr>
          <w:rFonts w:ascii="宋体" w:eastAsia="宋体" w:hAnsi="宋体" w:cs="宋体"/>
          <w:b/>
          <w:bCs/>
          <w:color w:val="FFFFFF"/>
          <w:sz w:val="28"/>
          <w:szCs w:val="28"/>
        </w:rPr>
        <w:t>第九模块</w:t>
      </w:r>
      <w:r>
        <w:rPr>
          <w:rFonts w:ascii="宋体" w:eastAsia="宋体" w:hAnsi="宋体" w:cs="宋体"/>
          <w:b/>
          <w:bCs/>
          <w:color w:val="FFFFFF"/>
          <w:sz w:val="28"/>
          <w:szCs w:val="28"/>
        </w:rPr>
        <w:t xml:space="preserve"> </w:t>
      </w:r>
      <w:r>
        <w:rPr>
          <w:rFonts w:ascii="宋体" w:eastAsia="宋体" w:hAnsi="宋体" w:cs="宋体"/>
          <w:b/>
          <w:bCs/>
          <w:color w:val="FFFFFF"/>
          <w:sz w:val="28"/>
          <w:szCs w:val="28"/>
        </w:rPr>
        <w:t>商业模式设计与创新</w:t>
      </w:r>
    </w:p>
    <w:p w:rsidR="00E70C12" w:rsidRDefault="005B59C5">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5080</wp:posOffset>
                </wp:positionH>
                <wp:positionV relativeFrom="paragraph">
                  <wp:posOffset>151130</wp:posOffset>
                </wp:positionV>
                <wp:extent cx="624522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11.9pt" to="492.15pt,11.9pt" o:allowincell="f" strokecolor="#000000" strokeweight="0.5pt"/>
            </w:pict>
          </mc:Fallback>
        </mc:AlternateContent>
      </w:r>
    </w:p>
    <w:p w:rsidR="00E70C12" w:rsidRDefault="00E70C12">
      <w:pPr>
        <w:sectPr w:rsidR="00E70C12">
          <w:type w:val="continuous"/>
          <w:pgSz w:w="11900" w:h="16838"/>
          <w:pgMar w:top="1440" w:right="926" w:bottom="1440" w:left="1140" w:header="0" w:footer="0" w:gutter="0"/>
          <w:cols w:space="720" w:equalWidth="0">
            <w:col w:w="9840"/>
          </w:cols>
        </w:sectPr>
      </w:pPr>
    </w:p>
    <w:tbl>
      <w:tblPr>
        <w:tblW w:w="0" w:type="auto"/>
        <w:tblInd w:w="10" w:type="dxa"/>
        <w:tblLayout w:type="fixed"/>
        <w:tblCellMar>
          <w:left w:w="0" w:type="dxa"/>
          <w:right w:w="0" w:type="dxa"/>
        </w:tblCellMar>
        <w:tblLook w:val="04A0" w:firstRow="1" w:lastRow="0" w:firstColumn="1" w:lastColumn="0" w:noHBand="0" w:noVBand="1"/>
      </w:tblPr>
      <w:tblGrid>
        <w:gridCol w:w="4820"/>
        <w:gridCol w:w="5040"/>
      </w:tblGrid>
      <w:tr w:rsidR="00E70C12">
        <w:trPr>
          <w:trHeight w:val="295"/>
        </w:trPr>
        <w:tc>
          <w:tcPr>
            <w:tcW w:w="4820" w:type="dxa"/>
            <w:tcBorders>
              <w:top w:val="single" w:sz="8" w:space="0" w:color="auto"/>
              <w:left w:val="single" w:sz="8" w:space="0" w:color="auto"/>
              <w:right w:val="single" w:sz="8" w:space="0" w:color="auto"/>
            </w:tcBorders>
            <w:vAlign w:val="bottom"/>
          </w:tcPr>
          <w:p w:rsidR="00E70C12" w:rsidRDefault="005B59C5">
            <w:pPr>
              <w:spacing w:line="240" w:lineRule="exact"/>
              <w:ind w:left="120"/>
              <w:rPr>
                <w:sz w:val="20"/>
                <w:szCs w:val="20"/>
              </w:rPr>
            </w:pPr>
            <w:bookmarkStart w:id="4" w:name="page5"/>
            <w:bookmarkEnd w:id="4"/>
            <w:r>
              <w:rPr>
                <w:rFonts w:ascii="宋体" w:eastAsia="宋体" w:hAnsi="宋体" w:cs="宋体"/>
                <w:b/>
                <w:bCs/>
                <w:sz w:val="21"/>
                <w:szCs w:val="21"/>
              </w:rPr>
              <w:lastRenderedPageBreak/>
              <w:t>商业模式创新与变革</w:t>
            </w:r>
          </w:p>
        </w:tc>
        <w:tc>
          <w:tcPr>
            <w:tcW w:w="5040" w:type="dxa"/>
            <w:tcBorders>
              <w:top w:val="single" w:sz="8" w:space="0" w:color="auto"/>
              <w:right w:val="single" w:sz="8" w:space="0" w:color="auto"/>
            </w:tcBorders>
            <w:vAlign w:val="bottom"/>
          </w:tcPr>
          <w:p w:rsidR="00E70C12" w:rsidRDefault="005B59C5">
            <w:pPr>
              <w:spacing w:line="240" w:lineRule="exact"/>
              <w:ind w:left="100"/>
              <w:rPr>
                <w:sz w:val="20"/>
                <w:szCs w:val="20"/>
              </w:rPr>
            </w:pPr>
            <w:r>
              <w:rPr>
                <w:rFonts w:ascii="宋体" w:eastAsia="宋体" w:hAnsi="宋体" w:cs="宋体"/>
                <w:b/>
                <w:bCs/>
                <w:sz w:val="21"/>
                <w:szCs w:val="21"/>
              </w:rPr>
              <w:t>商业模式与企业核心竞争力</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商业模式体系建立</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互联网时代背景的下商业模式创新</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商业模式与行业发展层级</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商业模式的优化与实施</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商业模式与企业定位</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跟进、独创产品、专业化商业模式</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商业模式与竞争战略</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不同行业商业模式研究与对比</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商业模式的评价标准与体系建立</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模式变革的内部风险与管控</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商业模式盈利预测</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商业模式与公司制度</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商业模式赢利支撑</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商业模式设计的理念</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资本市场的商业模式偏好</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商业模式与企业制度设计</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商业模式的财税保障战略</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构建商业模式下的管理制度要点</w:t>
            </w:r>
          </w:p>
        </w:tc>
      </w:tr>
      <w:tr w:rsidR="00E70C12">
        <w:trPr>
          <w:trHeight w:val="559"/>
        </w:trPr>
        <w:tc>
          <w:tcPr>
            <w:tcW w:w="4820" w:type="dxa"/>
            <w:tcBorders>
              <w:left w:val="single" w:sz="8" w:space="0" w:color="auto"/>
              <w:right w:val="single" w:sz="8" w:space="0" w:color="auto"/>
            </w:tcBorders>
            <w:vAlign w:val="bottom"/>
          </w:tcPr>
          <w:p w:rsidR="00E70C12" w:rsidRDefault="005B59C5">
            <w:pPr>
              <w:spacing w:line="240" w:lineRule="exact"/>
              <w:ind w:left="120"/>
              <w:rPr>
                <w:sz w:val="20"/>
                <w:szCs w:val="20"/>
              </w:rPr>
            </w:pPr>
            <w:r>
              <w:rPr>
                <w:rFonts w:ascii="宋体" w:eastAsia="宋体" w:hAnsi="宋体" w:cs="宋体"/>
                <w:sz w:val="21"/>
                <w:szCs w:val="21"/>
              </w:rPr>
              <w:t>※</w:t>
            </w:r>
            <w:r>
              <w:rPr>
                <w:rFonts w:ascii="宋体" w:eastAsia="宋体" w:hAnsi="宋体" w:cs="宋体"/>
                <w:sz w:val="21"/>
                <w:szCs w:val="21"/>
              </w:rPr>
              <w:t>商业模式的盈利评估与分析</w:t>
            </w:r>
          </w:p>
        </w:tc>
        <w:tc>
          <w:tcPr>
            <w:tcW w:w="5040" w:type="dxa"/>
            <w:tcBorders>
              <w:right w:val="single" w:sz="8" w:space="0" w:color="auto"/>
            </w:tcBorders>
            <w:vAlign w:val="bottom"/>
          </w:tcPr>
          <w:p w:rsidR="00E70C12" w:rsidRDefault="005B59C5">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文化传承与商业模式变革</w:t>
            </w:r>
          </w:p>
        </w:tc>
      </w:tr>
      <w:tr w:rsidR="00E70C12">
        <w:trPr>
          <w:trHeight w:val="274"/>
        </w:trPr>
        <w:tc>
          <w:tcPr>
            <w:tcW w:w="4820" w:type="dxa"/>
            <w:tcBorders>
              <w:left w:val="single" w:sz="8" w:space="0" w:color="auto"/>
              <w:bottom w:val="single" w:sz="8" w:space="0" w:color="auto"/>
              <w:right w:val="single" w:sz="8" w:space="0" w:color="auto"/>
            </w:tcBorders>
            <w:vAlign w:val="bottom"/>
          </w:tcPr>
          <w:p w:rsidR="00E70C12" w:rsidRDefault="00E70C12">
            <w:pPr>
              <w:rPr>
                <w:sz w:val="23"/>
                <w:szCs w:val="23"/>
              </w:rPr>
            </w:pPr>
          </w:p>
        </w:tc>
        <w:tc>
          <w:tcPr>
            <w:tcW w:w="5040" w:type="dxa"/>
            <w:tcBorders>
              <w:bottom w:val="single" w:sz="8" w:space="0" w:color="auto"/>
              <w:right w:val="single" w:sz="8" w:space="0" w:color="auto"/>
            </w:tcBorders>
            <w:vAlign w:val="bottom"/>
          </w:tcPr>
          <w:p w:rsidR="00E70C12" w:rsidRDefault="00E70C12">
            <w:pPr>
              <w:rPr>
                <w:sz w:val="23"/>
                <w:szCs w:val="23"/>
              </w:rPr>
            </w:pPr>
          </w:p>
        </w:tc>
      </w:tr>
    </w:tbl>
    <w:p w:rsidR="00E70C12" w:rsidRDefault="00E70C12">
      <w:pPr>
        <w:spacing w:line="200" w:lineRule="exact"/>
        <w:rPr>
          <w:sz w:val="20"/>
          <w:szCs w:val="20"/>
        </w:rPr>
      </w:pPr>
    </w:p>
    <w:p w:rsidR="00E70C12" w:rsidRDefault="00E70C12">
      <w:pPr>
        <w:spacing w:line="385" w:lineRule="exact"/>
        <w:rPr>
          <w:sz w:val="20"/>
          <w:szCs w:val="20"/>
        </w:rPr>
      </w:pPr>
    </w:p>
    <w:p w:rsidR="00E70C12" w:rsidRDefault="005B59C5">
      <w:pPr>
        <w:spacing w:line="274" w:lineRule="exact"/>
        <w:ind w:left="660"/>
        <w:rPr>
          <w:sz w:val="20"/>
          <w:szCs w:val="20"/>
        </w:rPr>
      </w:pPr>
      <w:r>
        <w:rPr>
          <w:rFonts w:ascii="宋体" w:eastAsia="宋体" w:hAnsi="宋体" w:cs="宋体"/>
          <w:color w:val="C00000"/>
          <w:sz w:val="24"/>
          <w:szCs w:val="24"/>
        </w:rPr>
        <w:t>【学习对象】</w:t>
      </w:r>
    </w:p>
    <w:p w:rsidR="00E70C12" w:rsidRDefault="00E70C12">
      <w:pPr>
        <w:spacing w:line="368" w:lineRule="exact"/>
        <w:rPr>
          <w:sz w:val="20"/>
          <w:szCs w:val="20"/>
        </w:rPr>
      </w:pPr>
    </w:p>
    <w:p w:rsidR="00E70C12" w:rsidRDefault="005B59C5">
      <w:pPr>
        <w:spacing w:line="240" w:lineRule="exact"/>
        <w:ind w:left="660"/>
        <w:rPr>
          <w:sz w:val="20"/>
          <w:szCs w:val="20"/>
        </w:rPr>
      </w:pPr>
      <w:r>
        <w:rPr>
          <w:rFonts w:ascii="宋体" w:eastAsia="宋体" w:hAnsi="宋体" w:cs="宋体"/>
          <w:sz w:val="21"/>
          <w:szCs w:val="21"/>
        </w:rPr>
        <w:t>致力于产业投资的实业企业家</w:t>
      </w:r>
    </w:p>
    <w:p w:rsidR="00E70C12" w:rsidRDefault="00E70C12">
      <w:pPr>
        <w:spacing w:line="360" w:lineRule="exact"/>
        <w:rPr>
          <w:sz w:val="20"/>
          <w:szCs w:val="20"/>
        </w:rPr>
      </w:pPr>
    </w:p>
    <w:p w:rsidR="00E70C12" w:rsidRDefault="005B59C5">
      <w:pPr>
        <w:spacing w:line="240" w:lineRule="exact"/>
        <w:ind w:left="660"/>
        <w:rPr>
          <w:sz w:val="20"/>
          <w:szCs w:val="20"/>
        </w:rPr>
      </w:pPr>
      <w:r>
        <w:rPr>
          <w:rFonts w:ascii="宋体" w:eastAsia="宋体" w:hAnsi="宋体" w:cs="宋体"/>
          <w:sz w:val="21"/>
          <w:szCs w:val="21"/>
        </w:rPr>
        <w:t>拟融资或拟上市企业董事长、总经理、企业投融资项目负责人</w:t>
      </w:r>
    </w:p>
    <w:p w:rsidR="00E70C12" w:rsidRDefault="00E70C12">
      <w:pPr>
        <w:spacing w:line="360" w:lineRule="exact"/>
        <w:rPr>
          <w:sz w:val="20"/>
          <w:szCs w:val="20"/>
        </w:rPr>
      </w:pPr>
    </w:p>
    <w:p w:rsidR="00E70C12" w:rsidRDefault="005B59C5">
      <w:pPr>
        <w:spacing w:line="240" w:lineRule="exact"/>
        <w:ind w:left="660"/>
        <w:rPr>
          <w:sz w:val="20"/>
          <w:szCs w:val="20"/>
        </w:rPr>
      </w:pPr>
      <w:r>
        <w:rPr>
          <w:rFonts w:ascii="宋体" w:eastAsia="宋体" w:hAnsi="宋体" w:cs="宋体"/>
          <w:sz w:val="21"/>
          <w:szCs w:val="21"/>
        </w:rPr>
        <w:t>私募股权投资基金公司的项目负责人</w:t>
      </w:r>
    </w:p>
    <w:p w:rsidR="00E70C12" w:rsidRDefault="00E70C12">
      <w:pPr>
        <w:spacing w:line="360" w:lineRule="exact"/>
        <w:rPr>
          <w:sz w:val="20"/>
          <w:szCs w:val="20"/>
        </w:rPr>
      </w:pPr>
    </w:p>
    <w:p w:rsidR="00E70C12" w:rsidRDefault="005B59C5">
      <w:pPr>
        <w:spacing w:line="240" w:lineRule="exact"/>
        <w:ind w:left="660"/>
        <w:rPr>
          <w:sz w:val="20"/>
          <w:szCs w:val="20"/>
        </w:rPr>
      </w:pPr>
      <w:r>
        <w:rPr>
          <w:rFonts w:ascii="宋体" w:eastAsia="宋体" w:hAnsi="宋体" w:cs="宋体"/>
          <w:sz w:val="21"/>
          <w:szCs w:val="21"/>
        </w:rPr>
        <w:t>金融机构、金融服务机构负责人</w:t>
      </w:r>
    </w:p>
    <w:p w:rsidR="00E70C12" w:rsidRDefault="00E70C12">
      <w:pPr>
        <w:spacing w:line="360" w:lineRule="exact"/>
        <w:rPr>
          <w:sz w:val="20"/>
          <w:szCs w:val="20"/>
        </w:rPr>
      </w:pPr>
    </w:p>
    <w:p w:rsidR="00E70C12" w:rsidRDefault="005B59C5">
      <w:pPr>
        <w:spacing w:line="240" w:lineRule="exact"/>
        <w:ind w:left="660"/>
        <w:rPr>
          <w:sz w:val="20"/>
          <w:szCs w:val="20"/>
        </w:rPr>
      </w:pPr>
      <w:r>
        <w:rPr>
          <w:rFonts w:ascii="宋体" w:eastAsia="宋体" w:hAnsi="宋体" w:cs="宋体"/>
          <w:sz w:val="21"/>
          <w:szCs w:val="21"/>
        </w:rPr>
        <w:t>主管产业投资基金的相关政府部门负责人</w:t>
      </w:r>
    </w:p>
    <w:p w:rsidR="00E70C12" w:rsidRDefault="00E70C12">
      <w:pPr>
        <w:spacing w:line="278" w:lineRule="exact"/>
        <w:rPr>
          <w:sz w:val="20"/>
          <w:szCs w:val="20"/>
        </w:rPr>
      </w:pPr>
    </w:p>
    <w:p w:rsidR="00E70C12" w:rsidRDefault="005B59C5">
      <w:pPr>
        <w:spacing w:line="274" w:lineRule="exact"/>
        <w:ind w:left="660"/>
        <w:rPr>
          <w:sz w:val="20"/>
          <w:szCs w:val="20"/>
        </w:rPr>
      </w:pPr>
      <w:r>
        <w:rPr>
          <w:rFonts w:ascii="宋体" w:eastAsia="宋体" w:hAnsi="宋体" w:cs="宋体"/>
          <w:color w:val="C00000"/>
          <w:sz w:val="24"/>
          <w:szCs w:val="24"/>
        </w:rPr>
        <w:t>【学制学费】</w:t>
      </w:r>
    </w:p>
    <w:p w:rsidR="00E70C12" w:rsidRDefault="00E70C12">
      <w:pPr>
        <w:spacing w:line="352" w:lineRule="exact"/>
        <w:rPr>
          <w:sz w:val="20"/>
          <w:szCs w:val="20"/>
        </w:rPr>
      </w:pPr>
    </w:p>
    <w:p w:rsidR="00E70C12" w:rsidRDefault="005B59C5">
      <w:pPr>
        <w:spacing w:line="240" w:lineRule="exact"/>
        <w:ind w:left="660"/>
        <w:rPr>
          <w:sz w:val="20"/>
          <w:szCs w:val="20"/>
        </w:rPr>
      </w:pPr>
      <w:r>
        <w:rPr>
          <w:rFonts w:ascii="宋体" w:eastAsia="宋体" w:hAnsi="宋体" w:cs="宋体"/>
          <w:b/>
          <w:bCs/>
          <w:sz w:val="21"/>
          <w:szCs w:val="21"/>
        </w:rPr>
        <w:t>学习时间：</w:t>
      </w:r>
      <w:r>
        <w:rPr>
          <w:rFonts w:ascii="宋体" w:eastAsia="宋体" w:hAnsi="宋体" w:cs="宋体"/>
          <w:sz w:val="21"/>
          <w:szCs w:val="21"/>
        </w:rPr>
        <w:t>学制一年</w:t>
      </w:r>
      <w:r>
        <w:rPr>
          <w:rFonts w:ascii="宋体" w:eastAsia="宋体" w:hAnsi="宋体" w:cs="宋体"/>
          <w:sz w:val="21"/>
          <w:szCs w:val="21"/>
        </w:rPr>
        <w:t>,</w:t>
      </w:r>
      <w:r>
        <w:rPr>
          <w:rFonts w:ascii="宋体" w:eastAsia="宋体" w:hAnsi="宋体" w:cs="宋体"/>
          <w:sz w:val="21"/>
          <w:szCs w:val="21"/>
        </w:rPr>
        <w:t>每个月授课</w:t>
      </w:r>
      <w:r>
        <w:rPr>
          <w:rFonts w:ascii="宋体" w:eastAsia="宋体" w:hAnsi="宋体" w:cs="宋体"/>
          <w:b/>
          <w:bCs/>
          <w:sz w:val="21"/>
          <w:szCs w:val="21"/>
        </w:rPr>
        <w:t xml:space="preserve"> </w:t>
      </w:r>
      <w:r>
        <w:rPr>
          <w:rFonts w:ascii="宋体" w:eastAsia="宋体" w:hAnsi="宋体" w:cs="宋体"/>
          <w:sz w:val="21"/>
          <w:szCs w:val="21"/>
        </w:rPr>
        <w:t>2-3</w:t>
      </w:r>
      <w:r>
        <w:rPr>
          <w:rFonts w:ascii="宋体" w:eastAsia="宋体" w:hAnsi="宋体" w:cs="宋体"/>
          <w:b/>
          <w:bCs/>
          <w:sz w:val="21"/>
          <w:szCs w:val="21"/>
        </w:rPr>
        <w:t xml:space="preserve"> </w:t>
      </w:r>
      <w:r>
        <w:rPr>
          <w:rFonts w:ascii="宋体" w:eastAsia="宋体" w:hAnsi="宋体" w:cs="宋体"/>
          <w:sz w:val="21"/>
          <w:szCs w:val="21"/>
        </w:rPr>
        <w:t>天（每周五、六、日），毕业后终身免费复训。</w:t>
      </w:r>
    </w:p>
    <w:p w:rsidR="00E70C12" w:rsidRDefault="00E70C12">
      <w:pPr>
        <w:spacing w:line="340" w:lineRule="exact"/>
        <w:rPr>
          <w:sz w:val="20"/>
          <w:szCs w:val="20"/>
        </w:rPr>
      </w:pPr>
    </w:p>
    <w:p w:rsidR="00E70C12" w:rsidRDefault="005B59C5">
      <w:pPr>
        <w:spacing w:line="240" w:lineRule="exact"/>
        <w:ind w:left="660"/>
        <w:rPr>
          <w:rFonts w:ascii="宋体" w:eastAsia="宋体" w:hAnsi="宋体" w:cs="宋体" w:hint="eastAsia"/>
          <w:sz w:val="21"/>
          <w:szCs w:val="21"/>
        </w:rPr>
      </w:pPr>
      <w:r>
        <w:rPr>
          <w:rFonts w:ascii="宋体" w:eastAsia="宋体" w:hAnsi="宋体" w:cs="宋体"/>
          <w:b/>
          <w:bCs/>
          <w:sz w:val="21"/>
          <w:szCs w:val="21"/>
        </w:rPr>
        <w:t>培训学费：</w:t>
      </w:r>
      <w:r>
        <w:rPr>
          <w:rFonts w:ascii="宋体" w:eastAsia="宋体" w:hAnsi="宋体" w:cs="宋体"/>
          <w:sz w:val="21"/>
          <w:szCs w:val="21"/>
        </w:rPr>
        <w:t>￥</w:t>
      </w:r>
      <w:r>
        <w:rPr>
          <w:rFonts w:ascii="宋体" w:eastAsia="宋体" w:hAnsi="宋体" w:cs="宋体"/>
          <w:sz w:val="21"/>
          <w:szCs w:val="21"/>
        </w:rPr>
        <w:t>88000</w:t>
      </w:r>
      <w:r>
        <w:rPr>
          <w:rFonts w:ascii="宋体" w:eastAsia="宋体" w:hAnsi="宋体" w:cs="宋体"/>
          <w:b/>
          <w:bCs/>
          <w:sz w:val="21"/>
          <w:szCs w:val="21"/>
        </w:rPr>
        <w:t xml:space="preserve"> </w:t>
      </w:r>
      <w:r>
        <w:rPr>
          <w:rFonts w:ascii="宋体" w:eastAsia="宋体" w:hAnsi="宋体" w:cs="宋体"/>
          <w:sz w:val="21"/>
          <w:szCs w:val="21"/>
        </w:rPr>
        <w:t>元</w:t>
      </w:r>
      <w:r>
        <w:rPr>
          <w:rFonts w:ascii="宋体" w:eastAsia="宋体" w:hAnsi="宋体" w:cs="宋体"/>
          <w:sz w:val="21"/>
          <w:szCs w:val="21"/>
        </w:rPr>
        <w:t>/</w:t>
      </w:r>
      <w:r>
        <w:rPr>
          <w:rFonts w:ascii="宋体" w:eastAsia="宋体" w:hAnsi="宋体" w:cs="宋体"/>
          <w:sz w:val="21"/>
          <w:szCs w:val="21"/>
        </w:rPr>
        <w:t>人</w:t>
      </w:r>
      <w:r>
        <w:rPr>
          <w:rFonts w:ascii="宋体" w:eastAsia="宋体" w:hAnsi="宋体" w:cs="宋体"/>
          <w:sz w:val="21"/>
          <w:szCs w:val="21"/>
        </w:rPr>
        <w:t>/</w:t>
      </w:r>
      <w:r>
        <w:rPr>
          <w:rFonts w:ascii="宋体" w:eastAsia="宋体" w:hAnsi="宋体" w:cs="宋体"/>
          <w:sz w:val="21"/>
          <w:szCs w:val="21"/>
        </w:rPr>
        <w:t>期，上课期间食宿及其它费用自理。</w:t>
      </w:r>
    </w:p>
    <w:p w:rsidR="005B59C5" w:rsidRDefault="005B59C5">
      <w:pPr>
        <w:spacing w:line="240" w:lineRule="exact"/>
        <w:ind w:left="660"/>
        <w:rPr>
          <w:rFonts w:ascii="宋体" w:eastAsia="宋体" w:hAnsi="宋体" w:cs="宋体" w:hint="eastAsia"/>
          <w:sz w:val="21"/>
          <w:szCs w:val="21"/>
        </w:rPr>
      </w:pPr>
      <w:bookmarkStart w:id="5" w:name="_GoBack"/>
      <w:bookmarkEnd w:id="5"/>
    </w:p>
    <w:p w:rsidR="005B59C5" w:rsidRPr="005B59C5" w:rsidRDefault="005B59C5">
      <w:pPr>
        <w:spacing w:line="240" w:lineRule="exact"/>
        <w:ind w:left="660"/>
        <w:rPr>
          <w:b/>
          <w:color w:val="FF0000"/>
          <w:sz w:val="20"/>
          <w:szCs w:val="20"/>
        </w:rPr>
      </w:pPr>
      <w:r w:rsidRPr="005B59C5">
        <w:rPr>
          <w:rFonts w:ascii="宋体" w:eastAsia="宋体" w:hAnsi="宋体" w:cs="宋体" w:hint="eastAsia"/>
          <w:b/>
          <w:bCs/>
          <w:color w:val="FF0000"/>
          <w:sz w:val="21"/>
          <w:szCs w:val="21"/>
        </w:rPr>
        <w:t>咨询电话：</w:t>
      </w:r>
      <w:r w:rsidRPr="005B59C5">
        <w:rPr>
          <w:rFonts w:hint="eastAsia"/>
          <w:b/>
          <w:color w:val="FF0000"/>
          <w:sz w:val="20"/>
          <w:szCs w:val="20"/>
        </w:rPr>
        <w:t xml:space="preserve">13911124833  </w:t>
      </w:r>
      <w:r>
        <w:rPr>
          <w:rFonts w:hint="eastAsia"/>
          <w:b/>
          <w:color w:val="FF0000"/>
          <w:sz w:val="20"/>
          <w:szCs w:val="20"/>
        </w:rPr>
        <w:t xml:space="preserve">  </w:t>
      </w:r>
      <w:r w:rsidRPr="005B59C5">
        <w:rPr>
          <w:rFonts w:hint="eastAsia"/>
          <w:b/>
          <w:color w:val="FF0000"/>
          <w:sz w:val="20"/>
          <w:szCs w:val="20"/>
        </w:rPr>
        <w:t xml:space="preserve"> 010-62750337  </w:t>
      </w:r>
      <w:r w:rsidRPr="005B59C5">
        <w:rPr>
          <w:rFonts w:hint="eastAsia"/>
          <w:b/>
          <w:color w:val="FF0000"/>
          <w:sz w:val="20"/>
          <w:szCs w:val="20"/>
        </w:rPr>
        <w:t>姚老师</w:t>
      </w:r>
    </w:p>
    <w:p w:rsidR="00E70C12" w:rsidRDefault="00E70C12">
      <w:pPr>
        <w:spacing w:line="372" w:lineRule="exact"/>
        <w:rPr>
          <w:sz w:val="20"/>
          <w:szCs w:val="20"/>
        </w:rPr>
      </w:pPr>
    </w:p>
    <w:p w:rsidR="00E70C12" w:rsidRDefault="005B59C5">
      <w:pPr>
        <w:spacing w:line="323" w:lineRule="exact"/>
        <w:ind w:left="660" w:right="980"/>
        <w:jc w:val="both"/>
        <w:rPr>
          <w:sz w:val="20"/>
          <w:szCs w:val="20"/>
        </w:rPr>
      </w:pPr>
      <w:r>
        <w:rPr>
          <w:rFonts w:ascii="宋体" w:eastAsia="宋体" w:hAnsi="宋体" w:cs="宋体"/>
          <w:sz w:val="21"/>
          <w:szCs w:val="21"/>
        </w:rPr>
        <w:t>培训学费由北京大学财务部在开班前统一收取，开具中央非税收入统一票据，并严格执行有关财务规定。请学员将学费汇至北京大学帐户。请直接向北京大学交费，不要向其他任何个人或组织交费。</w:t>
      </w:r>
    </w:p>
    <w:p w:rsidR="00E70C12" w:rsidRDefault="00E70C12">
      <w:pPr>
        <w:spacing w:line="342" w:lineRule="exact"/>
        <w:rPr>
          <w:sz w:val="20"/>
          <w:szCs w:val="20"/>
        </w:rPr>
      </w:pPr>
    </w:p>
    <w:p w:rsidR="00E70C12" w:rsidRDefault="005B59C5">
      <w:pPr>
        <w:spacing w:line="240" w:lineRule="exact"/>
        <w:ind w:left="660"/>
        <w:rPr>
          <w:sz w:val="20"/>
          <w:szCs w:val="20"/>
        </w:rPr>
      </w:pPr>
      <w:r>
        <w:rPr>
          <w:rFonts w:ascii="宋体" w:eastAsia="宋体" w:hAnsi="宋体" w:cs="宋体"/>
          <w:sz w:val="21"/>
          <w:szCs w:val="21"/>
        </w:rPr>
        <w:t>学完全部课程并考核合格后，由北京大学颁发学校统一编号的培训结业证书，证书盖北京</w:t>
      </w:r>
    </w:p>
    <w:p w:rsidR="00E70C12" w:rsidRDefault="00E70C12">
      <w:pPr>
        <w:sectPr w:rsidR="00E70C12">
          <w:pgSz w:w="11900" w:h="16838"/>
          <w:pgMar w:top="1420" w:right="926" w:bottom="1158" w:left="1140" w:header="0" w:footer="0" w:gutter="0"/>
          <w:cols w:space="720" w:equalWidth="0">
            <w:col w:w="9840"/>
          </w:cols>
        </w:sectPr>
      </w:pPr>
    </w:p>
    <w:p w:rsidR="00E70C12" w:rsidRDefault="00E70C12">
      <w:pPr>
        <w:spacing w:line="92" w:lineRule="exact"/>
        <w:rPr>
          <w:sz w:val="20"/>
          <w:szCs w:val="20"/>
        </w:rPr>
      </w:pPr>
      <w:bookmarkStart w:id="6" w:name="page6"/>
      <w:bookmarkEnd w:id="6"/>
    </w:p>
    <w:p w:rsidR="00E70C12" w:rsidRDefault="005B59C5">
      <w:pPr>
        <w:spacing w:line="240" w:lineRule="exact"/>
        <w:ind w:left="360"/>
        <w:rPr>
          <w:sz w:val="20"/>
          <w:szCs w:val="20"/>
        </w:rPr>
      </w:pPr>
      <w:r>
        <w:rPr>
          <w:rFonts w:ascii="宋体" w:eastAsia="宋体" w:hAnsi="宋体" w:cs="宋体"/>
          <w:sz w:val="21"/>
          <w:szCs w:val="21"/>
        </w:rPr>
        <w:t>大学钢印，证书编号可登陆北大网站查询。</w:t>
      </w:r>
    </w:p>
    <w:p w:rsidR="00E70C12" w:rsidRDefault="00E70C12">
      <w:pPr>
        <w:spacing w:line="310" w:lineRule="exact"/>
        <w:rPr>
          <w:sz w:val="20"/>
          <w:szCs w:val="20"/>
        </w:rPr>
      </w:pPr>
    </w:p>
    <w:p w:rsidR="00E70C12" w:rsidRDefault="005B59C5">
      <w:pPr>
        <w:spacing w:line="274" w:lineRule="exact"/>
        <w:ind w:left="360"/>
        <w:rPr>
          <w:sz w:val="20"/>
          <w:szCs w:val="20"/>
        </w:rPr>
      </w:pPr>
      <w:r>
        <w:rPr>
          <w:rFonts w:ascii="宋体" w:eastAsia="宋体" w:hAnsi="宋体" w:cs="宋体"/>
          <w:color w:val="C00000"/>
          <w:sz w:val="24"/>
          <w:szCs w:val="24"/>
        </w:rPr>
        <w:t>【部分师资】</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孙祁祥：</w:t>
      </w:r>
      <w:r>
        <w:rPr>
          <w:rFonts w:ascii="宋体" w:eastAsia="宋体" w:hAnsi="宋体" w:cs="宋体"/>
          <w:color w:val="000000"/>
          <w:sz w:val="24"/>
          <w:szCs w:val="24"/>
        </w:rPr>
        <w:t>北京大学经济学院院长，风险管理与保险学博士生导师。</w:t>
      </w:r>
    </w:p>
    <w:p w:rsidR="00E70C12" w:rsidRDefault="00E70C12">
      <w:pPr>
        <w:spacing w:line="342" w:lineRule="exact"/>
        <w:rPr>
          <w:sz w:val="20"/>
          <w:szCs w:val="20"/>
        </w:rPr>
      </w:pPr>
    </w:p>
    <w:p w:rsidR="00E70C12" w:rsidRDefault="005B59C5">
      <w:pPr>
        <w:spacing w:line="308" w:lineRule="exact"/>
        <w:ind w:left="1320" w:right="626" w:hanging="959"/>
        <w:rPr>
          <w:sz w:val="20"/>
          <w:szCs w:val="20"/>
        </w:rPr>
      </w:pPr>
      <w:r>
        <w:rPr>
          <w:rFonts w:ascii="宋体" w:eastAsia="宋体" w:hAnsi="宋体" w:cs="宋体"/>
          <w:color w:val="FF0000"/>
          <w:sz w:val="24"/>
          <w:szCs w:val="24"/>
        </w:rPr>
        <w:t>张建国：</w:t>
      </w:r>
      <w:r>
        <w:rPr>
          <w:rFonts w:ascii="宋体" w:eastAsia="宋体" w:hAnsi="宋体" w:cs="宋体"/>
          <w:color w:val="000000"/>
          <w:sz w:val="24"/>
          <w:szCs w:val="24"/>
        </w:rPr>
        <w:t>量子比特币</w:t>
      </w:r>
      <w:r>
        <w:rPr>
          <w:rFonts w:ascii="宋体" w:eastAsia="宋体" w:hAnsi="宋体" w:cs="宋体"/>
          <w:color w:val="FF0000"/>
          <w:sz w:val="24"/>
          <w:szCs w:val="24"/>
        </w:rPr>
        <w:t xml:space="preserve"> </w:t>
      </w:r>
      <w:r>
        <w:rPr>
          <w:rFonts w:ascii="宋体" w:eastAsia="宋体" w:hAnsi="宋体" w:cs="宋体"/>
          <w:color w:val="000000"/>
          <w:sz w:val="24"/>
          <w:szCs w:val="24"/>
        </w:rPr>
        <w:t>QBTC</w:t>
      </w:r>
      <w:r>
        <w:rPr>
          <w:rFonts w:ascii="宋体" w:eastAsia="宋体" w:hAnsi="宋体" w:cs="宋体"/>
          <w:color w:val="FF0000"/>
          <w:sz w:val="24"/>
          <w:szCs w:val="24"/>
        </w:rPr>
        <w:t xml:space="preserve"> </w:t>
      </w:r>
      <w:r>
        <w:rPr>
          <w:rFonts w:ascii="宋体" w:eastAsia="宋体" w:hAnsi="宋体" w:cs="宋体"/>
          <w:color w:val="000000"/>
          <w:sz w:val="24"/>
          <w:szCs w:val="24"/>
        </w:rPr>
        <w:t>创始人，中国区块链创投联盟主席、大象矿机创始人。</w:t>
      </w:r>
    </w:p>
    <w:p w:rsidR="00E70C12" w:rsidRDefault="00E70C12">
      <w:pPr>
        <w:spacing w:line="308"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蔡文胜：</w:t>
      </w:r>
      <w:r>
        <w:rPr>
          <w:rFonts w:ascii="宋体" w:eastAsia="宋体" w:hAnsi="宋体" w:cs="宋体"/>
          <w:color w:val="000000"/>
          <w:sz w:val="24"/>
          <w:szCs w:val="24"/>
        </w:rPr>
        <w:t>知名投资人，美图秀秀董事长、隆领资本创始人</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高西庆：</w:t>
      </w:r>
      <w:r>
        <w:rPr>
          <w:rFonts w:ascii="宋体" w:eastAsia="宋体" w:hAnsi="宋体" w:cs="宋体"/>
          <w:color w:val="000000"/>
          <w:sz w:val="24"/>
          <w:szCs w:val="24"/>
        </w:rPr>
        <w:t>清华大学法学院教授、原证监会中国证券监督管理委员会副主席。</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陈志武：</w:t>
      </w:r>
      <w:r>
        <w:rPr>
          <w:rFonts w:ascii="宋体" w:eastAsia="宋体" w:hAnsi="宋体" w:cs="宋体"/>
          <w:color w:val="000000"/>
          <w:sz w:val="24"/>
          <w:szCs w:val="24"/>
        </w:rPr>
        <w:t>经济学家，北京大学经济学院特聘教授，耶鲁大学金融经济学教授。</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何小锋：</w:t>
      </w:r>
      <w:r>
        <w:rPr>
          <w:rFonts w:ascii="宋体" w:eastAsia="宋体" w:hAnsi="宋体" w:cs="宋体"/>
          <w:color w:val="000000"/>
          <w:sz w:val="24"/>
          <w:szCs w:val="24"/>
        </w:rPr>
        <w:t>北京大学金融与产业发展研究中心主任。</w:t>
      </w:r>
    </w:p>
    <w:p w:rsidR="00E70C12" w:rsidRDefault="00E70C12">
      <w:pPr>
        <w:spacing w:line="306" w:lineRule="exact"/>
        <w:rPr>
          <w:sz w:val="20"/>
          <w:szCs w:val="20"/>
        </w:rPr>
      </w:pPr>
    </w:p>
    <w:p w:rsidR="00E70C12" w:rsidRDefault="005B59C5">
      <w:pPr>
        <w:tabs>
          <w:tab w:val="left" w:pos="820"/>
        </w:tabs>
        <w:spacing w:line="274" w:lineRule="exact"/>
        <w:ind w:left="360"/>
        <w:rPr>
          <w:sz w:val="20"/>
          <w:szCs w:val="20"/>
        </w:rPr>
      </w:pPr>
      <w:r>
        <w:rPr>
          <w:rFonts w:ascii="宋体" w:eastAsia="宋体" w:hAnsi="宋体" w:cs="宋体"/>
          <w:color w:val="FF0000"/>
          <w:sz w:val="24"/>
          <w:szCs w:val="24"/>
        </w:rPr>
        <w:t>宋</w:t>
      </w:r>
      <w:r>
        <w:rPr>
          <w:rFonts w:ascii="宋体" w:eastAsia="宋体" w:hAnsi="宋体" w:cs="宋体"/>
          <w:color w:val="FF0000"/>
          <w:sz w:val="24"/>
          <w:szCs w:val="24"/>
        </w:rPr>
        <w:tab/>
      </w:r>
      <w:r>
        <w:rPr>
          <w:rFonts w:ascii="宋体" w:eastAsia="宋体" w:hAnsi="宋体" w:cs="宋体"/>
          <w:color w:val="FF0000"/>
          <w:sz w:val="24"/>
          <w:szCs w:val="24"/>
        </w:rPr>
        <w:t>敏：</w:t>
      </w:r>
      <w:r>
        <w:rPr>
          <w:rFonts w:ascii="宋体" w:eastAsia="宋体" w:hAnsi="宋体" w:cs="宋体"/>
          <w:color w:val="000000"/>
          <w:sz w:val="24"/>
          <w:szCs w:val="24"/>
        </w:rPr>
        <w:t>北京大学经济学院教授、金融系主任。</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张亚光：</w:t>
      </w:r>
      <w:r>
        <w:rPr>
          <w:rFonts w:ascii="宋体" w:eastAsia="宋体" w:hAnsi="宋体" w:cs="宋体"/>
          <w:color w:val="000000"/>
          <w:sz w:val="24"/>
          <w:szCs w:val="24"/>
        </w:rPr>
        <w:t>北京大学经济学院副院长、党委委员，博士生导师。</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邢春晓：</w:t>
      </w:r>
      <w:r>
        <w:rPr>
          <w:rFonts w:ascii="宋体" w:eastAsia="宋体" w:hAnsi="宋体" w:cs="宋体"/>
          <w:color w:val="000000"/>
          <w:sz w:val="24"/>
          <w:szCs w:val="24"/>
        </w:rPr>
        <w:t>中国电子学会区块链专委会副主任委员、清华大学教授。</w:t>
      </w:r>
    </w:p>
    <w:p w:rsidR="00E70C12" w:rsidRDefault="00E70C12">
      <w:pPr>
        <w:spacing w:line="306" w:lineRule="exact"/>
        <w:rPr>
          <w:sz w:val="20"/>
          <w:szCs w:val="20"/>
        </w:rPr>
      </w:pPr>
    </w:p>
    <w:p w:rsidR="00E70C12" w:rsidRDefault="005B59C5">
      <w:pPr>
        <w:tabs>
          <w:tab w:val="left" w:pos="820"/>
        </w:tabs>
        <w:spacing w:line="274" w:lineRule="exact"/>
        <w:ind w:left="360"/>
        <w:rPr>
          <w:sz w:val="20"/>
          <w:szCs w:val="20"/>
        </w:rPr>
      </w:pPr>
      <w:r>
        <w:rPr>
          <w:rFonts w:ascii="宋体" w:eastAsia="宋体" w:hAnsi="宋体" w:cs="宋体"/>
          <w:color w:val="FF0000"/>
          <w:sz w:val="24"/>
          <w:szCs w:val="24"/>
        </w:rPr>
        <w:t>尹</w:t>
      </w:r>
      <w:r>
        <w:rPr>
          <w:rFonts w:ascii="宋体" w:eastAsia="宋体" w:hAnsi="宋体" w:cs="宋体"/>
          <w:color w:val="FF0000"/>
          <w:sz w:val="24"/>
          <w:szCs w:val="24"/>
        </w:rPr>
        <w:tab/>
      </w:r>
      <w:r>
        <w:rPr>
          <w:rFonts w:ascii="宋体" w:eastAsia="宋体" w:hAnsi="宋体" w:cs="宋体"/>
          <w:color w:val="FF0000"/>
          <w:sz w:val="24"/>
          <w:szCs w:val="24"/>
        </w:rPr>
        <w:t>浩：</w:t>
      </w:r>
      <w:r>
        <w:rPr>
          <w:rFonts w:ascii="宋体" w:eastAsia="宋体" w:hAnsi="宋体" w:cs="宋体"/>
          <w:color w:val="000000"/>
          <w:sz w:val="24"/>
          <w:szCs w:val="24"/>
        </w:rPr>
        <w:t>中国电子学会区块链专委会副主任委员</w:t>
      </w:r>
      <w:r>
        <w:rPr>
          <w:rFonts w:ascii="宋体" w:eastAsia="宋体" w:hAnsi="宋体" w:cs="宋体"/>
          <w:color w:val="000000"/>
          <w:sz w:val="24"/>
          <w:szCs w:val="24"/>
        </w:rPr>
        <w:t xml:space="preserve"> </w:t>
      </w:r>
      <w:r>
        <w:rPr>
          <w:rFonts w:ascii="宋体" w:eastAsia="宋体" w:hAnsi="宋体" w:cs="宋体"/>
          <w:color w:val="000000"/>
          <w:sz w:val="24"/>
          <w:szCs w:val="24"/>
        </w:rPr>
        <w:t>清华大学教授。</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蔡维德：</w:t>
      </w:r>
      <w:r>
        <w:rPr>
          <w:rFonts w:ascii="宋体" w:eastAsia="宋体" w:hAnsi="宋体" w:cs="宋体"/>
          <w:color w:val="000000"/>
          <w:sz w:val="24"/>
          <w:szCs w:val="24"/>
        </w:rPr>
        <w:t>北京航空航天大学数字社会与区块链实验室主任。</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关海庭：</w:t>
      </w:r>
      <w:r>
        <w:rPr>
          <w:rFonts w:ascii="宋体" w:eastAsia="宋体" w:hAnsi="宋体" w:cs="宋体"/>
          <w:color w:val="000000"/>
          <w:sz w:val="24"/>
          <w:szCs w:val="24"/>
        </w:rPr>
        <w:t>北京大学政府管理学院教授、博士生导师，北京大学副教务长</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黄恒学：</w:t>
      </w:r>
      <w:r>
        <w:rPr>
          <w:rFonts w:ascii="宋体" w:eastAsia="宋体" w:hAnsi="宋体" w:cs="宋体"/>
          <w:color w:val="000000"/>
          <w:sz w:val="24"/>
          <w:szCs w:val="24"/>
        </w:rPr>
        <w:t>北京大学政府管理学院教授，公共经济学系主任</w:t>
      </w:r>
    </w:p>
    <w:p w:rsidR="00E70C12" w:rsidRDefault="00E70C12">
      <w:pPr>
        <w:spacing w:line="306" w:lineRule="exact"/>
        <w:rPr>
          <w:sz w:val="20"/>
          <w:szCs w:val="20"/>
        </w:rPr>
      </w:pPr>
    </w:p>
    <w:p w:rsidR="00E70C12" w:rsidRDefault="005B59C5" w:rsidP="005B59C5">
      <w:pPr>
        <w:tabs>
          <w:tab w:val="left" w:pos="360"/>
        </w:tabs>
        <w:spacing w:line="274" w:lineRule="exact"/>
        <w:ind w:right="6" w:firstLineChars="100" w:firstLine="240"/>
        <w:rPr>
          <w:sz w:val="20"/>
          <w:szCs w:val="20"/>
        </w:rPr>
      </w:pPr>
      <w:r>
        <w:rPr>
          <w:rFonts w:ascii="宋体" w:eastAsia="宋体" w:hAnsi="宋体" w:cs="宋体"/>
          <w:color w:val="FF0000"/>
          <w:sz w:val="24"/>
          <w:szCs w:val="24"/>
        </w:rPr>
        <w:t>章</w:t>
      </w:r>
      <w:r>
        <w:rPr>
          <w:sz w:val="20"/>
          <w:szCs w:val="20"/>
        </w:rPr>
        <w:tab/>
      </w:r>
      <w:r>
        <w:rPr>
          <w:rFonts w:ascii="宋体" w:eastAsia="宋体" w:hAnsi="宋体" w:cs="宋体"/>
          <w:color w:val="FF0000"/>
          <w:sz w:val="24"/>
          <w:szCs w:val="24"/>
        </w:rPr>
        <w:t>政：</w:t>
      </w:r>
      <w:r>
        <w:rPr>
          <w:rFonts w:ascii="宋体" w:eastAsia="宋体" w:hAnsi="宋体" w:cs="宋体"/>
          <w:color w:val="000000"/>
          <w:sz w:val="24"/>
          <w:szCs w:val="24"/>
        </w:rPr>
        <w:t>北京大学经济学院党委书记、副院长，兼环境资源与发展经济学系主</w:t>
      </w:r>
    </w:p>
    <w:p w:rsidR="00E70C12" w:rsidRDefault="00E70C12">
      <w:pPr>
        <w:spacing w:line="106" w:lineRule="exact"/>
        <w:rPr>
          <w:sz w:val="20"/>
          <w:szCs w:val="20"/>
        </w:rPr>
      </w:pPr>
    </w:p>
    <w:p w:rsidR="00E70C12" w:rsidRDefault="005B59C5">
      <w:pPr>
        <w:spacing w:line="274" w:lineRule="exact"/>
        <w:ind w:left="1320"/>
        <w:rPr>
          <w:sz w:val="20"/>
          <w:szCs w:val="20"/>
        </w:rPr>
      </w:pPr>
      <w:r>
        <w:rPr>
          <w:rFonts w:ascii="宋体" w:eastAsia="宋体" w:hAnsi="宋体" w:cs="宋体"/>
          <w:sz w:val="24"/>
          <w:szCs w:val="24"/>
        </w:rPr>
        <w:t>任</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朱少平：</w:t>
      </w:r>
      <w:r>
        <w:rPr>
          <w:rFonts w:ascii="宋体" w:eastAsia="宋体" w:hAnsi="宋体" w:cs="宋体"/>
          <w:color w:val="000000"/>
          <w:sz w:val="24"/>
          <w:szCs w:val="24"/>
        </w:rPr>
        <w:t>全国人大财经委法案室主任兼任北京大学教授</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黄俊立：</w:t>
      </w:r>
      <w:r>
        <w:rPr>
          <w:rFonts w:ascii="宋体" w:eastAsia="宋体" w:hAnsi="宋体" w:cs="宋体"/>
          <w:color w:val="000000"/>
          <w:sz w:val="24"/>
          <w:szCs w:val="24"/>
        </w:rPr>
        <w:t>北京大学副教授、民营企业研究所执行所长</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曹凤岐：</w:t>
      </w:r>
      <w:r>
        <w:rPr>
          <w:rFonts w:ascii="宋体" w:eastAsia="宋体" w:hAnsi="宋体" w:cs="宋体"/>
          <w:color w:val="000000"/>
          <w:sz w:val="24"/>
          <w:szCs w:val="24"/>
        </w:rPr>
        <w:t>北京大学光华管理学院教授，北京大学金融与证券研究中心主任</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欧阳良宜：</w:t>
      </w:r>
      <w:r>
        <w:rPr>
          <w:rFonts w:ascii="宋体" w:eastAsia="宋体" w:hAnsi="宋体" w:cs="宋体"/>
          <w:color w:val="000000"/>
          <w:sz w:val="24"/>
          <w:szCs w:val="24"/>
        </w:rPr>
        <w:t>北京大学金融系副教授、博士，特许金融分析师</w:t>
      </w:r>
    </w:p>
    <w:p w:rsidR="00E70C12" w:rsidRDefault="00E70C12">
      <w:pPr>
        <w:spacing w:line="306" w:lineRule="exact"/>
        <w:rPr>
          <w:sz w:val="20"/>
          <w:szCs w:val="20"/>
        </w:rPr>
      </w:pPr>
    </w:p>
    <w:p w:rsidR="00E70C12" w:rsidRDefault="005B59C5">
      <w:pPr>
        <w:tabs>
          <w:tab w:val="left" w:pos="820"/>
        </w:tabs>
        <w:spacing w:line="274" w:lineRule="exact"/>
        <w:ind w:left="360"/>
        <w:rPr>
          <w:sz w:val="20"/>
          <w:szCs w:val="20"/>
        </w:rPr>
      </w:pPr>
      <w:r>
        <w:rPr>
          <w:rFonts w:ascii="宋体" w:eastAsia="宋体" w:hAnsi="宋体" w:cs="宋体"/>
          <w:color w:val="FF0000"/>
          <w:sz w:val="24"/>
          <w:szCs w:val="24"/>
        </w:rPr>
        <w:t>李</w:t>
      </w:r>
      <w:r>
        <w:rPr>
          <w:rFonts w:ascii="宋体" w:eastAsia="宋体" w:hAnsi="宋体" w:cs="宋体"/>
          <w:color w:val="FF0000"/>
          <w:sz w:val="24"/>
          <w:szCs w:val="24"/>
        </w:rPr>
        <w:tab/>
      </w:r>
      <w:r>
        <w:rPr>
          <w:rFonts w:ascii="宋体" w:eastAsia="宋体" w:hAnsi="宋体" w:cs="宋体"/>
          <w:color w:val="FF0000"/>
          <w:sz w:val="24"/>
          <w:szCs w:val="24"/>
        </w:rPr>
        <w:t>磊：</w:t>
      </w:r>
      <w:r>
        <w:rPr>
          <w:rFonts w:ascii="宋体" w:eastAsia="宋体" w:hAnsi="宋体" w:cs="宋体"/>
          <w:color w:val="000000"/>
          <w:sz w:val="24"/>
          <w:szCs w:val="24"/>
        </w:rPr>
        <w:t>华夏润石</w:t>
      </w:r>
      <w:r>
        <w:rPr>
          <w:rFonts w:ascii="宋体" w:eastAsia="宋体" w:hAnsi="宋体" w:cs="宋体"/>
          <w:color w:val="000000"/>
          <w:sz w:val="24"/>
          <w:szCs w:val="24"/>
        </w:rPr>
        <w:t>(</w:t>
      </w:r>
      <w:r>
        <w:rPr>
          <w:rFonts w:ascii="宋体" w:eastAsia="宋体" w:hAnsi="宋体" w:cs="宋体"/>
          <w:color w:val="000000"/>
          <w:sz w:val="24"/>
          <w:szCs w:val="24"/>
        </w:rPr>
        <w:t>北京</w:t>
      </w:r>
      <w:r>
        <w:rPr>
          <w:rFonts w:ascii="宋体" w:eastAsia="宋体" w:hAnsi="宋体" w:cs="宋体"/>
          <w:color w:val="000000"/>
          <w:sz w:val="24"/>
          <w:szCs w:val="24"/>
        </w:rPr>
        <w:t>)</w:t>
      </w:r>
      <w:r>
        <w:rPr>
          <w:rFonts w:ascii="宋体" w:eastAsia="宋体" w:hAnsi="宋体" w:cs="宋体"/>
          <w:color w:val="000000"/>
          <w:sz w:val="24"/>
          <w:szCs w:val="24"/>
        </w:rPr>
        <w:t>股权投资基金管理有限公司总裁</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李江涛：</w:t>
      </w:r>
      <w:r>
        <w:rPr>
          <w:rFonts w:ascii="宋体" w:eastAsia="宋体" w:hAnsi="宋体" w:cs="宋体"/>
          <w:color w:val="000000"/>
          <w:sz w:val="24"/>
          <w:szCs w:val="24"/>
        </w:rPr>
        <w:t>清华大学政治经济学研究中心研究员</w:t>
      </w:r>
    </w:p>
    <w:p w:rsidR="00E70C12" w:rsidRDefault="00E70C12">
      <w:pPr>
        <w:spacing w:line="306" w:lineRule="exact"/>
        <w:rPr>
          <w:sz w:val="20"/>
          <w:szCs w:val="20"/>
        </w:rPr>
      </w:pPr>
    </w:p>
    <w:p w:rsidR="00E70C12" w:rsidRDefault="005B59C5">
      <w:pPr>
        <w:spacing w:line="274" w:lineRule="exact"/>
        <w:ind w:left="360"/>
        <w:rPr>
          <w:sz w:val="20"/>
          <w:szCs w:val="20"/>
        </w:rPr>
      </w:pPr>
      <w:r>
        <w:rPr>
          <w:rFonts w:ascii="宋体" w:eastAsia="宋体" w:hAnsi="宋体" w:cs="宋体"/>
          <w:color w:val="FF0000"/>
          <w:sz w:val="24"/>
          <w:szCs w:val="24"/>
        </w:rPr>
        <w:t>罗明雄：</w:t>
      </w:r>
      <w:r>
        <w:rPr>
          <w:rFonts w:ascii="宋体" w:eastAsia="宋体" w:hAnsi="宋体" w:cs="宋体"/>
          <w:color w:val="000000"/>
          <w:sz w:val="24"/>
          <w:szCs w:val="24"/>
        </w:rPr>
        <w:t>北京京北投资管理有限公司总裁</w:t>
      </w:r>
    </w:p>
    <w:sectPr w:rsidR="00E70C12">
      <w:pgSz w:w="11900" w:h="16838"/>
      <w:pgMar w:top="1440" w:right="1386" w:bottom="1440" w:left="1380" w:header="0" w:footer="0" w:gutter="0"/>
      <w:cols w:space="720" w:equalWidth="0">
        <w:col w:w="9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12"/>
    <w:rsid w:val="005B59C5"/>
    <w:rsid w:val="00632096"/>
    <w:rsid w:val="006D64DB"/>
    <w:rsid w:val="00E7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2019-04-22T10:56:00Z</dcterms:created>
  <dcterms:modified xsi:type="dcterms:W3CDTF">2019-04-22T10:56:00Z</dcterms:modified>
</cp:coreProperties>
</file>